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43380">
      <w:pPr>
        <w:spacing w:before="124" w:line="218" w:lineRule="auto"/>
        <w:ind w:firstLine="0" w:firstLineChars="0"/>
        <w:jc w:val="left"/>
        <w:rPr>
          <w:rFonts w:ascii="黑体" w:hAnsi="黑体" w:eastAsia="黑体" w:cs="Times New Roman"/>
          <w:b w:val="0"/>
          <w:bCs w:val="0"/>
          <w:color w:val="auto"/>
          <w:spacing w:val="-5"/>
          <w:sz w:val="24"/>
          <w:szCs w:val="24"/>
          <w:u w:val="none"/>
        </w:rPr>
      </w:pPr>
      <w:bookmarkStart w:id="0" w:name="_GoBack"/>
      <w:bookmarkEnd w:id="0"/>
      <w:r>
        <w:rPr>
          <w:rFonts w:ascii="黑体" w:hAnsi="黑体" w:eastAsia="黑体" w:cs="Times New Roman"/>
          <w:b w:val="0"/>
          <w:bCs w:val="0"/>
          <w:color w:val="auto"/>
          <w:spacing w:val="-5"/>
          <w:sz w:val="24"/>
          <w:szCs w:val="24"/>
          <w:u w:val="none"/>
        </w:rPr>
        <w:t>附件</w:t>
      </w:r>
      <w:r>
        <w:rPr>
          <w:rFonts w:hint="eastAsia" w:ascii="黑体" w:hAnsi="黑体" w:eastAsia="黑体" w:cs="Times New Roman"/>
          <w:b w:val="0"/>
          <w:bCs w:val="0"/>
          <w:color w:val="auto"/>
          <w:spacing w:val="-5"/>
          <w:sz w:val="24"/>
          <w:szCs w:val="24"/>
          <w:u w:val="none"/>
        </w:rPr>
        <w:t>1</w:t>
      </w:r>
    </w:p>
    <w:p w14:paraId="79A9EBA7">
      <w:pPr>
        <w:spacing w:before="124" w:line="218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5"/>
          <w:sz w:val="44"/>
          <w:szCs w:val="44"/>
          <w:u w:val="none"/>
        </w:rPr>
        <w:t>景德镇高新技术产业开发区新型研发机构年度考核评估自评表</w:t>
      </w:r>
    </w:p>
    <w:p w14:paraId="06C26559">
      <w:pPr>
        <w:spacing w:line="247" w:lineRule="auto"/>
        <w:rPr>
          <w:rFonts w:cs="Times New Roman"/>
          <w:color w:val="auto"/>
          <w:u w:val="none"/>
        </w:rPr>
      </w:pPr>
    </w:p>
    <w:p w14:paraId="762C7706">
      <w:pPr>
        <w:spacing w:before="84" w:line="219" w:lineRule="auto"/>
        <w:ind w:left="690" w:firstLine="512"/>
        <w:rPr>
          <w:rFonts w:cs="Times New Roman"/>
          <w:color w:val="auto"/>
          <w:spacing w:val="-2"/>
          <w:sz w:val="26"/>
          <w:szCs w:val="26"/>
          <w:u w:val="none"/>
        </w:rPr>
      </w:pPr>
    </w:p>
    <w:p w14:paraId="6AB6CE96">
      <w:pPr>
        <w:spacing w:before="84" w:line="219" w:lineRule="auto"/>
        <w:rPr>
          <w:rFonts w:cs="Times New Roman"/>
          <w:color w:val="auto"/>
          <w:sz w:val="26"/>
          <w:szCs w:val="26"/>
          <w:u w:val="none"/>
        </w:rPr>
      </w:pPr>
      <w:r>
        <w:rPr>
          <w:rFonts w:cs="Times New Roman"/>
          <w:color w:val="auto"/>
          <w:spacing w:val="-2"/>
          <w:sz w:val="32"/>
          <w:szCs w:val="32"/>
          <w:u w:val="none"/>
        </w:rPr>
        <w:t>机构名称：</w:t>
      </w:r>
      <w:r>
        <w:rPr>
          <w:rFonts w:hint="eastAsia" w:cs="Times New Roman"/>
          <w:color w:val="auto"/>
          <w:spacing w:val="-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cs="Times New Roman"/>
          <w:color w:val="auto"/>
          <w:spacing w:val="-2"/>
          <w:sz w:val="32"/>
          <w:szCs w:val="32"/>
          <w:u w:val="none"/>
          <w:lang w:val="en-US" w:eastAsia="zh-CN"/>
        </w:rPr>
        <w:t xml:space="preserve">                填报时间：</w:t>
      </w:r>
      <w:r>
        <w:rPr>
          <w:rFonts w:hint="eastAsia" w:cs="Times New Roman"/>
          <w:color w:val="auto"/>
          <w:spacing w:val="-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color w:val="auto"/>
          <w:spacing w:val="-2"/>
          <w:sz w:val="32"/>
          <w:szCs w:val="32"/>
          <w:u w:val="none"/>
          <w:lang w:val="en-US" w:eastAsia="zh-CN"/>
        </w:rPr>
        <w:t>年</w:t>
      </w:r>
      <w:r>
        <w:rPr>
          <w:rFonts w:hint="eastAsia" w:cs="Times New Roman"/>
          <w:color w:val="auto"/>
          <w:spacing w:val="-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color w:val="auto"/>
          <w:spacing w:val="-2"/>
          <w:sz w:val="32"/>
          <w:szCs w:val="32"/>
          <w:u w:val="none"/>
          <w:lang w:val="en-US" w:eastAsia="zh-CN"/>
        </w:rPr>
        <w:t>月</w:t>
      </w:r>
      <w:r>
        <w:rPr>
          <w:rFonts w:hint="eastAsia" w:cs="Times New Roman"/>
          <w:color w:val="auto"/>
          <w:spacing w:val="-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color w:val="auto"/>
          <w:spacing w:val="-2"/>
          <w:sz w:val="32"/>
          <w:szCs w:val="32"/>
          <w:u w:val="none"/>
          <w:lang w:val="en-US" w:eastAsia="zh-CN"/>
        </w:rPr>
        <w:t>日</w:t>
      </w:r>
      <w:r>
        <w:rPr>
          <w:rFonts w:cs="Times New Roman"/>
          <w:color w:val="auto"/>
          <w:spacing w:val="-2"/>
          <w:sz w:val="26"/>
          <w:szCs w:val="26"/>
          <w:u w:val="none"/>
        </w:rPr>
        <w:t xml:space="preserve">                             </w:t>
      </w:r>
      <w:r>
        <w:rPr>
          <w:rFonts w:cs="Times New Roman"/>
          <w:color w:val="auto"/>
          <w:spacing w:val="-3"/>
          <w:sz w:val="26"/>
          <w:szCs w:val="26"/>
          <w:u w:val="none"/>
        </w:rPr>
        <w:t xml:space="preserve">        </w:t>
      </w:r>
    </w:p>
    <w:p w14:paraId="2B463F8A">
      <w:pPr>
        <w:spacing w:line="78" w:lineRule="exact"/>
        <w:rPr>
          <w:rFonts w:cs="Times New Roman"/>
          <w:color w:val="auto"/>
          <w:u w:val="none"/>
        </w:rPr>
      </w:pPr>
    </w:p>
    <w:p w14:paraId="450631FB">
      <w:pPr>
        <w:spacing w:line="78" w:lineRule="exact"/>
        <w:rPr>
          <w:rFonts w:cs="Times New Roman"/>
          <w:color w:val="auto"/>
          <w:u w:val="none"/>
        </w:rPr>
      </w:pPr>
    </w:p>
    <w:p w14:paraId="044A8A70">
      <w:pPr>
        <w:spacing w:line="78" w:lineRule="exact"/>
        <w:rPr>
          <w:rFonts w:cs="Times New Roman"/>
          <w:color w:val="auto"/>
          <w:u w:val="none"/>
        </w:rPr>
      </w:pPr>
    </w:p>
    <w:p w14:paraId="7617B03F">
      <w:pPr>
        <w:spacing w:line="78" w:lineRule="exact"/>
        <w:rPr>
          <w:rFonts w:cs="Times New Roman"/>
          <w:color w:val="auto"/>
          <w:u w:val="none"/>
        </w:rPr>
      </w:pPr>
    </w:p>
    <w:p w14:paraId="6E6FBF18">
      <w:pPr>
        <w:spacing w:line="78" w:lineRule="exact"/>
        <w:rPr>
          <w:rFonts w:cs="Times New Roman"/>
          <w:color w:val="auto"/>
          <w:u w:val="none"/>
        </w:rPr>
      </w:pPr>
    </w:p>
    <w:p w14:paraId="14D85B6B">
      <w:pPr>
        <w:spacing w:line="78" w:lineRule="exact"/>
        <w:rPr>
          <w:rFonts w:cs="Times New Roman"/>
          <w:color w:val="auto"/>
          <w:u w:val="none"/>
        </w:rPr>
      </w:pPr>
    </w:p>
    <w:tbl>
      <w:tblPr>
        <w:tblStyle w:val="12"/>
        <w:tblW w:w="13819" w:type="dxa"/>
        <w:tblInd w:w="5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69"/>
        <w:gridCol w:w="1259"/>
        <w:gridCol w:w="6835"/>
        <w:gridCol w:w="3527"/>
        <w:gridCol w:w="694"/>
      </w:tblGrid>
      <w:tr w14:paraId="7FA6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35" w:type="dxa"/>
            <w:vAlign w:val="center"/>
          </w:tcPr>
          <w:p w14:paraId="5E35ED69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41004F2D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969" w:type="dxa"/>
            <w:vAlign w:val="center"/>
          </w:tcPr>
          <w:p w14:paraId="43EA4B1D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 估指标</w:t>
            </w:r>
          </w:p>
        </w:tc>
        <w:tc>
          <w:tcPr>
            <w:tcW w:w="1259" w:type="dxa"/>
            <w:vAlign w:val="center"/>
          </w:tcPr>
          <w:p w14:paraId="4012A19B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3CD59BAC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6835" w:type="dxa"/>
            <w:vAlign w:val="center"/>
          </w:tcPr>
          <w:p w14:paraId="69C1E355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3527" w:type="dxa"/>
            <w:vAlign w:val="center"/>
          </w:tcPr>
          <w:p w14:paraId="4E3B2984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自评数据</w:t>
            </w:r>
          </w:p>
        </w:tc>
        <w:tc>
          <w:tcPr>
            <w:tcW w:w="694" w:type="dxa"/>
            <w:vAlign w:val="center"/>
          </w:tcPr>
          <w:p w14:paraId="4EB48D89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得分</w:t>
            </w:r>
          </w:p>
        </w:tc>
      </w:tr>
      <w:tr w14:paraId="2B7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4" w:hRule="atLeast"/>
        </w:trPr>
        <w:tc>
          <w:tcPr>
            <w:tcW w:w="535" w:type="dxa"/>
            <w:vAlign w:val="center"/>
          </w:tcPr>
          <w:p w14:paraId="568EAC0B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3A6AF744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Align w:val="center"/>
          </w:tcPr>
          <w:p w14:paraId="40FDF930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社</w:t>
            </w:r>
            <w:r>
              <w:rPr>
                <w:b/>
                <w:bCs/>
                <w:lang w:eastAsia="zh-CN"/>
              </w:rPr>
              <w:t>会</w:t>
            </w:r>
          </w:p>
          <w:p w14:paraId="4C5AE4F2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经济</w:t>
            </w:r>
          </w:p>
          <w:p w14:paraId="38166EA8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效益</w:t>
            </w:r>
          </w:p>
          <w:p w14:paraId="4F9AE626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  <w:lang w:val="en-US" w:eastAsia="zh-CN"/>
              </w:rPr>
              <w:t>85</w:t>
            </w:r>
            <w:r>
              <w:rPr>
                <w:b/>
                <w:bCs/>
              </w:rPr>
              <w:t>分)</w:t>
            </w:r>
          </w:p>
        </w:tc>
        <w:tc>
          <w:tcPr>
            <w:tcW w:w="1259" w:type="dxa"/>
            <w:vAlign w:val="center"/>
          </w:tcPr>
          <w:p w14:paraId="18FC4FF3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 一 )</w:t>
            </w:r>
          </w:p>
          <w:p w14:paraId="653E0179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经济增长</w:t>
            </w:r>
          </w:p>
          <w:p w14:paraId="1BE771DF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贡献情况</w:t>
            </w:r>
          </w:p>
          <w:p w14:paraId="4CD26652">
            <w:pPr>
              <w:ind w:left="0" w:leftChars="0" w:firstLine="0" w:firstLineChars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(20分)</w:t>
            </w:r>
          </w:p>
        </w:tc>
        <w:tc>
          <w:tcPr>
            <w:tcW w:w="6835" w:type="dxa"/>
            <w:vAlign w:val="center"/>
          </w:tcPr>
          <w:p w14:paraId="6FF5B3C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1.研究院横向竞争性收入(孵化、引进企业按研究院持股比例计入横向收入，不含财政补助资金)。</w:t>
            </w:r>
          </w:p>
          <w:p w14:paraId="3FFEC7A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①研究院注册时间3年以内的，(到账额度/200万元)*1分；</w:t>
            </w:r>
          </w:p>
          <w:p w14:paraId="2C3E8DA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②研究院注册时间3年以上的(含3年)(到账额度/500万元)*1分。</w:t>
            </w:r>
          </w:p>
          <w:p w14:paraId="6160530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2.研究院纵向竞争性收入。按照(到账额度/500万元)*1分。 </w:t>
            </w:r>
          </w:p>
          <w:p w14:paraId="76CD827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3.孵化企业的营业收入。</w:t>
            </w:r>
          </w:p>
          <w:p w14:paraId="45138CB6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①研究院注册时间3年以内的，(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开票金额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/300万元)*1分；</w:t>
            </w:r>
          </w:p>
          <w:p w14:paraId="170919E9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②研究院注册时间3年以上的(含3年)(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开票金额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/500万元)*1分</w:t>
            </w:r>
          </w:p>
          <w:p w14:paraId="1A0A0ED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4.引进企业的营业收入。</w:t>
            </w:r>
          </w:p>
          <w:p w14:paraId="0EE8171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①研究院注册时间3年以内的，(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纳税申报金额）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/1000万元)*1分；</w:t>
            </w:r>
          </w:p>
          <w:p w14:paraId="78CA7DAE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②研究院注册时间3年以上的(含3年)(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纳税申报金额）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/2000万元)*1分。</w:t>
            </w:r>
          </w:p>
          <w:p w14:paraId="5E4E95B4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5.研究院与我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一航两新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”产业体系开展合作，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大产业企业考核评估年度新增合作金额。按照(额度/500万元)*1分，满分2分。</w:t>
            </w:r>
          </w:p>
          <w:p w14:paraId="07D1FF3F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6.技术合同交易额(在江西省技术合同登记系统上登记)。满分3分。</w:t>
            </w:r>
          </w:p>
          <w:p w14:paraId="1E39DA19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①研究院注册时间3年以内的，技术合同交易额：(登记额度/250万元)*1分 </w:t>
            </w:r>
          </w:p>
          <w:p w14:paraId="2C70AC21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 w:firstLine="392" w:firstLineChars="20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②研究院注册时间3年以上(含3年),技术合同交易额：(登记额度/500万元)*1分。</w:t>
            </w:r>
          </w:p>
          <w:p w14:paraId="7988268E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说明：以上每项需提供相应佐证材料(项目批文、技术合同交易记录、项目资金到账情况等)</w:t>
            </w:r>
          </w:p>
        </w:tc>
        <w:tc>
          <w:tcPr>
            <w:tcW w:w="3527" w:type="dxa"/>
            <w:vAlign w:val="center"/>
          </w:tcPr>
          <w:p w14:paraId="4F976A98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10"/>
                <w:u w:val="none"/>
                <w:lang w:eastAsia="zh-CN"/>
              </w:rPr>
              <w:t>1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.研究院横向竞争性收入(不含财政补助资金)合同资金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，到账资金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1E330650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2.研究院纵向竞争性收入到账资金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7B8005BB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3.孵化企业的营业收入合同资金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，到账资金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425216A8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4.引进企业的营业收入合同资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），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到账资金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33DE6D52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5.研究院与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我区“一航两新”产业体系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开展合作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，三大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产业企业考核评估年度新增合作金额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72B4B13A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114" w:right="65" w:rightChars="0"/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.技术合同交易额(在江西省技术合同登记系统上登记)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，其中交易方为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景德镇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694" w:type="dxa"/>
          </w:tcPr>
          <w:p w14:paraId="18FFE181"/>
        </w:tc>
      </w:tr>
    </w:tbl>
    <w:p w14:paraId="202AE9B1">
      <w:pPr>
        <w:rPr>
          <w:rFonts w:cs="Times New Roman"/>
          <w:color w:val="auto"/>
          <w:u w:val="none"/>
        </w:rPr>
      </w:pPr>
    </w:p>
    <w:p w14:paraId="0ACF0A43">
      <w:pPr>
        <w:rPr>
          <w:rFonts w:cs="Times New Roman"/>
          <w:color w:val="auto"/>
          <w:u w:val="none"/>
        </w:rPr>
        <w:sectPr>
          <w:headerReference r:id="rId5" w:type="default"/>
          <w:footerReference r:id="rId6" w:type="default"/>
          <w:pgSz w:w="16840" w:h="11910"/>
          <w:pgMar w:top="1012" w:right="800" w:bottom="0" w:left="769" w:header="0" w:footer="0" w:gutter="0"/>
          <w:cols w:space="720" w:num="1"/>
        </w:sectPr>
      </w:pPr>
    </w:p>
    <w:tbl>
      <w:tblPr>
        <w:tblStyle w:val="12"/>
        <w:tblW w:w="13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19"/>
        <w:gridCol w:w="1259"/>
        <w:gridCol w:w="6895"/>
        <w:gridCol w:w="3567"/>
        <w:gridCol w:w="705"/>
      </w:tblGrid>
      <w:tr w14:paraId="0F04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5" w:type="dxa"/>
            <w:vAlign w:val="center"/>
          </w:tcPr>
          <w:p w14:paraId="4E86D43A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2F4C1F03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1019" w:type="dxa"/>
            <w:vAlign w:val="center"/>
          </w:tcPr>
          <w:p w14:paraId="45A1B901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考核评 估指标</w:t>
            </w:r>
          </w:p>
        </w:tc>
        <w:tc>
          <w:tcPr>
            <w:tcW w:w="1259" w:type="dxa"/>
            <w:vAlign w:val="center"/>
          </w:tcPr>
          <w:p w14:paraId="58384833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692FBA4B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6895" w:type="dxa"/>
            <w:vAlign w:val="center"/>
          </w:tcPr>
          <w:p w14:paraId="27FAC4A5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3567" w:type="dxa"/>
            <w:vAlign w:val="center"/>
          </w:tcPr>
          <w:p w14:paraId="5A56B858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自评数据</w:t>
            </w:r>
          </w:p>
        </w:tc>
        <w:tc>
          <w:tcPr>
            <w:tcW w:w="705" w:type="dxa"/>
            <w:vAlign w:val="center"/>
          </w:tcPr>
          <w:p w14:paraId="4BEAEFF8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得分</w:t>
            </w:r>
          </w:p>
        </w:tc>
      </w:tr>
      <w:tr w14:paraId="1047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6" w:hRule="atLeast"/>
        </w:trPr>
        <w:tc>
          <w:tcPr>
            <w:tcW w:w="535" w:type="dxa"/>
            <w:vAlign w:val="center"/>
          </w:tcPr>
          <w:p w14:paraId="30BE8AA4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1019" w:type="dxa"/>
            <w:vAlign w:val="center"/>
          </w:tcPr>
          <w:p w14:paraId="44C18EEA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社会</w:t>
            </w:r>
          </w:p>
          <w:p w14:paraId="509490E1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经济</w:t>
            </w:r>
          </w:p>
          <w:p w14:paraId="6E86FAD3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效益  (85分)</w:t>
            </w:r>
          </w:p>
        </w:tc>
        <w:tc>
          <w:tcPr>
            <w:tcW w:w="1259" w:type="dxa"/>
            <w:vAlign w:val="center"/>
          </w:tcPr>
          <w:p w14:paraId="157ED927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(二)</w:t>
            </w:r>
          </w:p>
          <w:p w14:paraId="77F8A6CE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社会发展</w:t>
            </w:r>
          </w:p>
          <w:p w14:paraId="78C7F906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贡献情况</w:t>
            </w:r>
          </w:p>
          <w:p w14:paraId="74404AA1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(20分)</w:t>
            </w:r>
          </w:p>
        </w:tc>
        <w:tc>
          <w:tcPr>
            <w:tcW w:w="6895" w:type="dxa"/>
          </w:tcPr>
          <w:p w14:paraId="617BEE02">
            <w:pPr>
              <w:spacing w:line="281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6A66B5BD">
            <w:pPr>
              <w:spacing w:line="281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01570CE6">
            <w:pPr>
              <w:spacing w:line="282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039682FD">
            <w:pPr>
              <w:spacing w:line="282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402BD690">
            <w:pPr>
              <w:pStyle w:val="13"/>
              <w:spacing w:before="31"/>
              <w:ind w:right="165" w:rightChars="0"/>
              <w:rPr>
                <w:rFonts w:ascii="Times New Roman" w:hAnsi="Times New Roman" w:cs="Times New Roman" w:eastAsiaTheme="minorEastAsia"/>
                <w:color w:val="auto"/>
                <w:spacing w:val="-10"/>
                <w:u w:val="none"/>
                <w:lang w:eastAsia="zh-CN"/>
              </w:rPr>
            </w:pPr>
          </w:p>
          <w:p w14:paraId="7CD441FC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1.面向我市企业承担研发课题项目数：承担我市企业科研项目0.5分/项，我市以外的0.2分/项。满分8分。</w:t>
            </w:r>
          </w:p>
          <w:p w14:paraId="39420DBE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2.为企业解决关键技术难题(揭榜挂帅、企业技术开发项目类)并实现应用，0.2分/项；年度内形成新技术/新工艺/新产品，0.2分/项。满分2分；(需提供相应证书、项目批文及完成情况等)。</w:t>
            </w:r>
          </w:p>
          <w:p w14:paraId="3615FE60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3.为企业提供服务0.05分/家。满分2分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6F5EBA6B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4.研究院通过资本、技术、专利入股新增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孵化企业2分/家(注册地为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景德镇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高新区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，法人或核心成员来源于研究院且考核评估年度营收不少于500万元);引进的在景德镇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高新区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新增注册落户的企业(以研究院牵头引进的并注册地为研究院或注册地在景德镇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高新区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的，且考核评估年度营收达到200万元，0.2分/家，2000万以上的1分/家);年度内新增建设中试基地，2分/家，总数到达2家得1分；年度内新增建成中试线/研发中心并实际运营的，0.2分/个。满分4分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65CA3184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5.为政府提供咨询服务、建议、支撑等工作，省级1分/项，市级0.5分/项，地方产业发展0.1分/项(需提供政府批文)。满分2分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。</w:t>
            </w:r>
          </w:p>
          <w:p w14:paraId="50BA6F01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6.围绕我市产业发展，牵头承办开展活动情况，国家级0.5分/次，省级0.25分/次，市级0.1分/次，自主开展0.05分/次，其中有院士参加额外增加0.1分/次。(一次活动记分一次且按照最高分计算，不得重复计算，协办 按50%计分)。满分2分。</w:t>
            </w:r>
          </w:p>
          <w:p w14:paraId="2931C17D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</w:p>
          <w:p w14:paraId="1B416962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说明：以上每项需提供相应佐证材料。</w:t>
            </w:r>
          </w:p>
        </w:tc>
        <w:tc>
          <w:tcPr>
            <w:tcW w:w="3567" w:type="dxa"/>
            <w:vAlign w:val="center"/>
          </w:tcPr>
          <w:p w14:paraId="0FC2B45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1.面向我市企业承担研发课题项目数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项，市外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</w:t>
            </w:r>
          </w:p>
          <w:p w14:paraId="339C2D60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2.为企业解决关键技术难题(揭榜挂帅、企业技术开发项目类)并实现应用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项；年度内形成新技术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项，新工艺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项，新产品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项(需提供相应证书、 项目批文及完成情况等)；</w:t>
            </w:r>
          </w:p>
          <w:p w14:paraId="62D0960B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3.为企业提供服务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家(为我市企业服务  家)；</w:t>
            </w:r>
          </w:p>
          <w:p w14:paraId="4ACB41DD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4.研究院通过资本、技术、专利入股新增孵化企业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家(注册地为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景德镇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市， 法人或核心成员为研究院团队人员)； 引进的在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景德镇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新增注册落户的企业(以研究院牵头引进的并注册地为研究院或注册地在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景德镇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市的);年度内新增建设中试基地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家，累计建成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家；年度内新增建成中试线并实际运营的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个，年度内新增建成研发中心并实际运营的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个；</w:t>
            </w:r>
          </w:p>
          <w:p w14:paraId="1483E5AC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5.为政府提供咨询服务、建议、支撑等工作，省级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项，市级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项，地方产业发展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项(需提供政府批文) ；</w:t>
            </w:r>
          </w:p>
          <w:p w14:paraId="080E63AF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6.围绕我市产业发展，承办开展活动情况，国家级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次),省级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次),市级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次),自主开展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次),其中有院士参加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次。</w:t>
            </w:r>
          </w:p>
        </w:tc>
        <w:tc>
          <w:tcPr>
            <w:tcW w:w="705" w:type="dxa"/>
          </w:tcPr>
          <w:p w14:paraId="2B12EE2B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</w:tbl>
    <w:p w14:paraId="0B7A8991">
      <w:pPr>
        <w:ind w:firstLine="0" w:firstLineChars="0"/>
        <w:rPr>
          <w:rFonts w:hint="eastAsia" w:cs="Times New Roman"/>
          <w:color w:val="auto"/>
          <w:u w:val="none"/>
        </w:rPr>
        <w:sectPr>
          <w:pgSz w:w="16840" w:h="11910"/>
          <w:pgMar w:top="1012" w:right="1624" w:bottom="0" w:left="1224" w:header="0" w:footer="0" w:gutter="0"/>
          <w:cols w:space="720" w:num="1"/>
        </w:sectPr>
      </w:pPr>
    </w:p>
    <w:tbl>
      <w:tblPr>
        <w:tblStyle w:val="12"/>
        <w:tblW w:w="14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1299"/>
        <w:gridCol w:w="7035"/>
        <w:gridCol w:w="3657"/>
        <w:gridCol w:w="724"/>
      </w:tblGrid>
      <w:tr w14:paraId="50920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vAlign w:val="center"/>
          </w:tcPr>
          <w:p w14:paraId="72E82761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45AC8D8C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1009" w:type="dxa"/>
            <w:vAlign w:val="center"/>
          </w:tcPr>
          <w:p w14:paraId="29D95762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考核评 估指标</w:t>
            </w:r>
          </w:p>
        </w:tc>
        <w:tc>
          <w:tcPr>
            <w:tcW w:w="1299" w:type="dxa"/>
            <w:vAlign w:val="center"/>
          </w:tcPr>
          <w:p w14:paraId="639E44B1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48FC943B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7035" w:type="dxa"/>
            <w:vAlign w:val="center"/>
          </w:tcPr>
          <w:p w14:paraId="2D0FE244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3657" w:type="dxa"/>
            <w:vAlign w:val="center"/>
          </w:tcPr>
          <w:p w14:paraId="55681076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自评数据</w:t>
            </w:r>
          </w:p>
        </w:tc>
        <w:tc>
          <w:tcPr>
            <w:tcW w:w="724" w:type="dxa"/>
            <w:vAlign w:val="center"/>
          </w:tcPr>
          <w:p w14:paraId="144C5CD5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得分</w:t>
            </w:r>
          </w:p>
        </w:tc>
      </w:tr>
      <w:tr w14:paraId="2F9EE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6" w:hRule="atLeast"/>
        </w:trPr>
        <w:tc>
          <w:tcPr>
            <w:tcW w:w="545" w:type="dxa"/>
            <w:vAlign w:val="center"/>
          </w:tcPr>
          <w:p w14:paraId="0C6F93FA">
            <w:pPr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</w:t>
            </w:r>
          </w:p>
        </w:tc>
        <w:tc>
          <w:tcPr>
            <w:tcW w:w="1009" w:type="dxa"/>
            <w:vAlign w:val="center"/>
          </w:tcPr>
          <w:p w14:paraId="7759F930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社会</w:t>
            </w:r>
          </w:p>
          <w:p w14:paraId="6C58F63C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经济</w:t>
            </w:r>
          </w:p>
          <w:p w14:paraId="6BDCA189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效益  (85分)</w:t>
            </w:r>
          </w:p>
        </w:tc>
        <w:tc>
          <w:tcPr>
            <w:tcW w:w="1299" w:type="dxa"/>
            <w:vAlign w:val="center"/>
          </w:tcPr>
          <w:p w14:paraId="1412CBD8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(三)</w:t>
            </w:r>
          </w:p>
          <w:p w14:paraId="76F67D78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研发能力</w:t>
            </w:r>
          </w:p>
          <w:p w14:paraId="42435395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成果产出</w:t>
            </w:r>
          </w:p>
          <w:p w14:paraId="11BE8A2A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(10分)</w:t>
            </w:r>
          </w:p>
        </w:tc>
        <w:tc>
          <w:tcPr>
            <w:tcW w:w="7035" w:type="dxa"/>
            <w:vAlign w:val="center"/>
          </w:tcPr>
          <w:p w14:paraId="3E536DF4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1.承担政府科研项目：承担国家级及层次相当的项目2分/项，省级及层次相当的项目1分/项，市级项目0.2分/项。满分3分；</w:t>
            </w:r>
          </w:p>
          <w:p w14:paraId="2D71C437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2.授权发明专利0.5分/项，实用新型专利0.3分/项；获得软件著作权0.1分/项。满分2分；</w:t>
            </w:r>
          </w:p>
          <w:p w14:paraId="00814F45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3.科技成果登记0.2分/项。满分1分；</w:t>
            </w:r>
          </w:p>
          <w:p w14:paraId="49BC3BA4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以研究院为申报主体的，以第一完成单位获得国家级科技奖励2分/项，江西省科技奖励(特等奖2分，一等奖1分，二等奖0.5分),获得江西省以外的国家级科技奖励1.5分/项，省部级科技奖励(特等奖1.5分，一等奖0.8分，二等奖0.3分);以第二及以后完成单位获得的奖励按照相应标准50%计分。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以上奖励包含各项赛事，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满分2分；</w:t>
            </w:r>
          </w:p>
          <w:p w14:paraId="6A7B812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5.牵头制定国家标准(含国家军用标准)2分/项，行业标准1.5分/项，地方标准1分/项，团体标准0.5分/项，企业标准0.2分/项，参与制定标准按50%计分。满分2分。</w:t>
            </w:r>
          </w:p>
          <w:p w14:paraId="1F17264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说明：以上每项需提供相应佐证材料(项目批文、项目资金到账情况等),以上事项需提供相关佐证材料，其中专利权利人必须为研究院，转让的需提供转让协议，奖励需提供奖励证书标准文件；登记科技成果需提供相关证明文件(技术合同登记证书)。</w:t>
            </w:r>
          </w:p>
          <w:p w14:paraId="2F5C79BC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</w:p>
          <w:p w14:paraId="6D6503E1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</w:p>
          <w:p w14:paraId="1BE11F6A">
            <w:pPr>
              <w:pStyle w:val="13"/>
              <w:tabs>
                <w:tab w:val="left" w:pos="6960"/>
              </w:tabs>
              <w:spacing w:before="65" w:line="248" w:lineRule="auto"/>
              <w:ind w:left="114" w:right="65" w:rightChars="0"/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说明：以上每项需提供相应佐证材料。</w:t>
            </w:r>
          </w:p>
        </w:tc>
        <w:tc>
          <w:tcPr>
            <w:tcW w:w="3657" w:type="dxa"/>
            <w:vAlign w:val="center"/>
          </w:tcPr>
          <w:p w14:paraId="6A217DF5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0" w:leftChars="0" w:right="65" w:rightChars="0" w:firstLine="0" w:firstLine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1.承担政府科研项目数：国家级及层次相当的项目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项，省级及层次相当的项目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项，市级项目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</w:t>
            </w:r>
          </w:p>
          <w:p w14:paraId="2C8F3230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0" w:leftChars="0" w:right="65" w:rightChars="0" w:firstLine="0" w:firstLine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2.授权发明专利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项，实用新型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专利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项；获得软件著作权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</w:t>
            </w:r>
          </w:p>
          <w:p w14:paraId="0C852864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0" w:leftChars="0" w:right="65" w:rightChars="0" w:firstLine="0" w:firstLine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3.科技成果登记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项；</w:t>
            </w:r>
          </w:p>
          <w:p w14:paraId="4EA1E1B8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0" w:leftChars="0" w:right="65" w:rightChars="0" w:firstLine="0" w:firstLineChars="0"/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4.以研究院为申报主体的，以第一完成单位获得江西省科技奖励(特等奖项，一等奖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项，二等奖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项),获得江西省以外的省部级科技奖励(特等奖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项，一等奖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项，二等奖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项);以第二或第三完成单位获得江西省科技奖励(特等奖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项，一等奖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项，二等奖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项),获得江西省以外的省部级科技励(特等奖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项，一等奖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，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二等奖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项);</w:t>
            </w:r>
          </w:p>
          <w:p w14:paraId="57CC2EEE">
            <w:pPr>
              <w:pStyle w:val="13"/>
              <w:tabs>
                <w:tab w:val="left" w:pos="3600"/>
                <w:tab w:val="left" w:pos="6960"/>
              </w:tabs>
              <w:spacing w:before="65" w:line="248" w:lineRule="auto"/>
              <w:ind w:left="0" w:leftChars="0" w:right="65" w:rightChars="0" w:firstLine="0" w:firstLineChars="0"/>
              <w:rPr>
                <w:rFonts w:asciiTheme="minorEastAsia" w:hAnsiTheme="minorEastAsia" w:eastAsia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5.制定国家标准(含国家军用标准)项(牵头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项),行业标准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项), 地方标准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项),团体标准(牵头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项，企业标准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项(牵头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参与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项)。</w:t>
            </w:r>
          </w:p>
        </w:tc>
        <w:tc>
          <w:tcPr>
            <w:tcW w:w="724" w:type="dxa"/>
          </w:tcPr>
          <w:p w14:paraId="4F314131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</w:tbl>
    <w:p w14:paraId="4F2E425D">
      <w:pPr>
        <w:rPr>
          <w:rFonts w:cs="Times New Roman"/>
          <w:color w:val="auto"/>
          <w:u w:val="none"/>
        </w:rPr>
      </w:pPr>
    </w:p>
    <w:p w14:paraId="3CB6E479">
      <w:pPr>
        <w:rPr>
          <w:rFonts w:cs="Times New Roman"/>
          <w:color w:val="auto"/>
          <w:u w:val="none"/>
        </w:rPr>
        <w:sectPr>
          <w:pgSz w:w="16840" w:h="11910"/>
          <w:pgMar w:top="1012" w:right="1295" w:bottom="0" w:left="1265" w:header="0" w:footer="0" w:gutter="0"/>
          <w:cols w:space="720" w:num="1"/>
        </w:sectPr>
      </w:pPr>
    </w:p>
    <w:tbl>
      <w:tblPr>
        <w:tblStyle w:val="12"/>
        <w:tblW w:w="13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009"/>
        <w:gridCol w:w="1249"/>
        <w:gridCol w:w="6875"/>
        <w:gridCol w:w="3567"/>
        <w:gridCol w:w="705"/>
      </w:tblGrid>
      <w:tr w14:paraId="203C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5" w:type="dxa"/>
            <w:vAlign w:val="center"/>
          </w:tcPr>
          <w:p w14:paraId="245C7A03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3AFCB34B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1009" w:type="dxa"/>
            <w:vAlign w:val="center"/>
          </w:tcPr>
          <w:p w14:paraId="56D20016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b/>
                <w:bCs/>
              </w:rPr>
              <w:t>考核评 估指标</w:t>
            </w:r>
          </w:p>
        </w:tc>
        <w:tc>
          <w:tcPr>
            <w:tcW w:w="1249" w:type="dxa"/>
            <w:vAlign w:val="center"/>
          </w:tcPr>
          <w:p w14:paraId="24E324C0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4E3CFD4A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6875" w:type="dxa"/>
            <w:vAlign w:val="center"/>
          </w:tcPr>
          <w:p w14:paraId="0AB7CA90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3567" w:type="dxa"/>
            <w:vAlign w:val="center"/>
          </w:tcPr>
          <w:p w14:paraId="47E2AD29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b/>
                <w:bCs/>
              </w:rPr>
              <w:t>自评数据</w:t>
            </w:r>
          </w:p>
        </w:tc>
        <w:tc>
          <w:tcPr>
            <w:tcW w:w="705" w:type="dxa"/>
            <w:vAlign w:val="center"/>
          </w:tcPr>
          <w:p w14:paraId="5E19D63C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b/>
                <w:bCs/>
              </w:rPr>
              <w:t>得分</w:t>
            </w:r>
          </w:p>
        </w:tc>
      </w:tr>
      <w:tr w14:paraId="2279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14:paraId="0D041651">
            <w:pPr>
              <w:spacing w:line="255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u w:val="none"/>
              </w:rPr>
              <w:t>1</w:t>
            </w:r>
          </w:p>
          <w:p w14:paraId="70D8DD71">
            <w:pPr>
              <w:spacing w:line="256" w:lineRule="auto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4AB424D9">
            <w:pPr>
              <w:spacing w:line="256" w:lineRule="auto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7BF668C7">
            <w:pPr>
              <w:pStyle w:val="13"/>
              <w:spacing w:before="65" w:line="184" w:lineRule="auto"/>
              <w:ind w:left="207" w:firstLine="39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pacing w:val="-3"/>
                <w:sz w:val="20"/>
                <w:szCs w:val="20"/>
                <w:u w:val="none"/>
              </w:rPr>
              <w:t>1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344A8961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社会</w:t>
            </w:r>
          </w:p>
          <w:p w14:paraId="2A852169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经济</w:t>
            </w:r>
          </w:p>
          <w:p w14:paraId="505F8472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效益  (85分)</w:t>
            </w:r>
          </w:p>
        </w:tc>
        <w:tc>
          <w:tcPr>
            <w:tcW w:w="1249" w:type="dxa"/>
          </w:tcPr>
          <w:p w14:paraId="7B68F84E">
            <w:pPr>
              <w:spacing w:line="250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050AC1F3">
            <w:pPr>
              <w:spacing w:line="250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08BF3344">
            <w:pPr>
              <w:spacing w:line="250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2A1E5CB8">
            <w:pPr>
              <w:spacing w:line="250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2DE96E39">
            <w:pPr>
              <w:pStyle w:val="13"/>
              <w:spacing w:before="65" w:line="257" w:lineRule="auto"/>
              <w:ind w:left="3" w:leftChars="0" w:right="39" w:rightChars="0" w:firstLine="360" w:firstLineChars="150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 xml:space="preserve">(四) </w:t>
            </w:r>
          </w:p>
          <w:p w14:paraId="69D7CE57">
            <w:pPr>
              <w:pStyle w:val="13"/>
              <w:spacing w:before="65" w:line="257" w:lineRule="auto"/>
              <w:ind w:left="3" w:leftChars="0" w:right="39" w:rightChars="0" w:hanging="3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累计投入 产出比重  (2.5分)</w:t>
            </w:r>
          </w:p>
        </w:tc>
        <w:tc>
          <w:tcPr>
            <w:tcW w:w="6875" w:type="dxa"/>
          </w:tcPr>
          <w:p w14:paraId="6EE2CC5D">
            <w:pPr>
              <w:pStyle w:val="13"/>
              <w:spacing w:before="65" w:line="230" w:lineRule="auto"/>
              <w:ind w:left="74" w:right="239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1"/>
                <w:sz w:val="20"/>
                <w:szCs w:val="20"/>
                <w:u w:val="none"/>
                <w:lang w:eastAsia="zh-CN"/>
              </w:rPr>
              <w:t>累计投入产出比=研究院累计收入/政府已拨资金，</w:t>
            </w:r>
            <w:r>
              <w:rPr>
                <w:rFonts w:ascii="Times New Roman" w:hAnsi="Times New Roman" w:cs="Times New Roman" w:eastAsiaTheme="minorEastAsia"/>
                <w:b w:val="0"/>
                <w:bCs w:val="0"/>
                <w:color w:val="auto"/>
                <w:spacing w:val="-1"/>
                <w:sz w:val="20"/>
                <w:szCs w:val="20"/>
                <w:u w:val="none"/>
                <w:lang w:eastAsia="zh-CN"/>
              </w:rPr>
              <w:t>按比例换算得分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pacing w:val="-1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pacing w:val="-1"/>
                <w:sz w:val="20"/>
                <w:szCs w:val="20"/>
                <w:u w:val="none"/>
                <w:lang w:eastAsia="zh-CN"/>
              </w:rPr>
              <w:t>满分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1"/>
                <w:sz w:val="20"/>
                <w:szCs w:val="20"/>
                <w:u w:val="none"/>
                <w:lang w:val="en-US" w:eastAsia="zh-CN"/>
              </w:rPr>
              <w:t>2.5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pacing w:val="-4"/>
                <w:sz w:val="20"/>
                <w:szCs w:val="20"/>
                <w:u w:val="none"/>
                <w:lang w:eastAsia="zh-CN"/>
              </w:rPr>
              <w:t>分。</w:t>
            </w:r>
          </w:p>
          <w:p w14:paraId="0C53F8D1">
            <w:pPr>
              <w:pStyle w:val="13"/>
              <w:spacing w:before="63" w:line="258" w:lineRule="auto"/>
              <w:ind w:left="502" w:right="3352"/>
              <w:jc w:val="both"/>
              <w:rPr>
                <w:rFonts w:ascii="Times New Roman" w:hAnsi="Times New Roman" w:cs="Times New Roman" w:eastAsiaTheme="minorEastAsia"/>
                <w:color w:val="auto"/>
                <w:spacing w:val="5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2"/>
                <w:sz w:val="20"/>
                <w:szCs w:val="20"/>
                <w:u w:val="none"/>
                <w:lang w:eastAsia="zh-CN"/>
              </w:rPr>
              <w:t>1.注册满2年：投入产出比≥20%;</w:t>
            </w:r>
            <w:r>
              <w:rPr>
                <w:rFonts w:ascii="Times New Roman" w:hAnsi="Times New Roman" w:cs="Times New Roman" w:eastAsiaTheme="minorEastAsia"/>
                <w:color w:val="auto"/>
                <w:spacing w:val="5"/>
                <w:sz w:val="20"/>
                <w:szCs w:val="20"/>
                <w:u w:val="none"/>
                <w:lang w:eastAsia="zh-CN"/>
              </w:rPr>
              <w:t xml:space="preserve"> </w:t>
            </w:r>
          </w:p>
          <w:p w14:paraId="379B818E">
            <w:pPr>
              <w:pStyle w:val="13"/>
              <w:spacing w:before="63" w:line="258" w:lineRule="auto"/>
              <w:ind w:left="502" w:right="3352"/>
              <w:jc w:val="both"/>
              <w:rPr>
                <w:rFonts w:ascii="Times New Roman" w:hAnsi="Times New Roman" w:cs="Times New Roman" w:eastAsiaTheme="minorEastAsia"/>
                <w:color w:val="auto"/>
                <w:spacing w:val="5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2"/>
                <w:sz w:val="20"/>
                <w:szCs w:val="20"/>
                <w:u w:val="none"/>
                <w:lang w:eastAsia="zh-CN"/>
              </w:rPr>
              <w:t>2.注册满3年：投入产出比≥40%;</w:t>
            </w:r>
            <w:r>
              <w:rPr>
                <w:rFonts w:ascii="Times New Roman" w:hAnsi="Times New Roman" w:cs="Times New Roman" w:eastAsiaTheme="minorEastAsia"/>
                <w:color w:val="auto"/>
                <w:spacing w:val="5"/>
                <w:sz w:val="20"/>
                <w:szCs w:val="20"/>
                <w:u w:val="none"/>
                <w:lang w:eastAsia="zh-CN"/>
              </w:rPr>
              <w:t xml:space="preserve"> </w:t>
            </w:r>
          </w:p>
          <w:p w14:paraId="3D28F3FF">
            <w:pPr>
              <w:pStyle w:val="13"/>
              <w:spacing w:before="63" w:line="258" w:lineRule="auto"/>
              <w:ind w:left="502" w:right="3352"/>
              <w:jc w:val="both"/>
              <w:rPr>
                <w:rFonts w:ascii="Times New Roman" w:hAnsi="Times New Roman" w:cs="Times New Roman" w:eastAsiaTheme="minorEastAsia"/>
                <w:color w:val="auto"/>
                <w:spacing w:val="15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2"/>
                <w:sz w:val="20"/>
                <w:szCs w:val="20"/>
                <w:u w:val="none"/>
                <w:lang w:eastAsia="zh-CN"/>
              </w:rPr>
              <w:t>3.注册满4年：投入产出比≥60%;</w:t>
            </w:r>
            <w:r>
              <w:rPr>
                <w:rFonts w:ascii="Times New Roman" w:hAnsi="Times New Roman" w:cs="Times New Roman" w:eastAsiaTheme="minorEastAsia"/>
                <w:color w:val="auto"/>
                <w:spacing w:val="15"/>
                <w:sz w:val="20"/>
                <w:szCs w:val="20"/>
                <w:u w:val="none"/>
                <w:lang w:eastAsia="zh-CN"/>
              </w:rPr>
              <w:t xml:space="preserve"> </w:t>
            </w:r>
          </w:p>
          <w:p w14:paraId="0DC6F30A">
            <w:pPr>
              <w:pStyle w:val="13"/>
              <w:spacing w:before="63" w:line="258" w:lineRule="auto"/>
              <w:ind w:left="502" w:right="3352"/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  <w:t>4.注册满5年：投入产出比≥80%。</w:t>
            </w:r>
          </w:p>
          <w:p w14:paraId="77D86882">
            <w:pPr>
              <w:pStyle w:val="13"/>
              <w:spacing w:before="19" w:line="247" w:lineRule="auto"/>
              <w:ind w:right="43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eastAsia="zh-CN"/>
              </w:rPr>
              <w:t>说明</w:t>
            </w: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  <w:t>：</w:t>
            </w:r>
          </w:p>
          <w:p w14:paraId="246685CD">
            <w:pPr>
              <w:pStyle w:val="13"/>
              <w:spacing w:before="62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1.研究院累计收入(通过面向社会提供服务实际到账金额，不含政府投入、竞争性政府课题投入);</w:t>
            </w:r>
          </w:p>
          <w:p w14:paraId="0C27C1AC">
            <w:pPr>
              <w:pStyle w:val="13"/>
              <w:spacing w:before="62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2.政府已拨资金(市本级、县区财政投入及固定资产、运营费用等，政府房产按比例折算)。</w:t>
            </w:r>
          </w:p>
        </w:tc>
        <w:tc>
          <w:tcPr>
            <w:tcW w:w="3567" w:type="dxa"/>
            <w:vAlign w:val="center"/>
          </w:tcPr>
          <w:p w14:paraId="787E316D">
            <w:pPr>
              <w:pStyle w:val="13"/>
              <w:spacing w:before="65" w:line="248" w:lineRule="auto"/>
              <w:ind w:left="11" w:leftChars="0" w:right="197" w:rightChars="0" w:hanging="11" w:hangingChars="6"/>
              <w:jc w:val="left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累计投入产出比=研究院累计收入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政府已拨累计投入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705" w:type="dxa"/>
          </w:tcPr>
          <w:p w14:paraId="1C3B1AA3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  <w:tr w14:paraId="27722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525" w:type="dxa"/>
            <w:vMerge w:val="continue"/>
            <w:tcBorders>
              <w:top w:val="nil"/>
            </w:tcBorders>
          </w:tcPr>
          <w:p w14:paraId="2CF1E27E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568ABF48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  <w:tc>
          <w:tcPr>
            <w:tcW w:w="1249" w:type="dxa"/>
          </w:tcPr>
          <w:p w14:paraId="23D92040">
            <w:pPr>
              <w:spacing w:line="247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5BB6EAB9">
            <w:pPr>
              <w:spacing w:line="248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1357B33F">
            <w:pPr>
              <w:spacing w:line="248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26842AEA">
            <w:pPr>
              <w:spacing w:line="248" w:lineRule="auto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  <w:p w14:paraId="0F39FF58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(五)</w:t>
            </w:r>
          </w:p>
          <w:p w14:paraId="376F213C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年度自我造血能力 (2.5分)</w:t>
            </w:r>
          </w:p>
        </w:tc>
        <w:tc>
          <w:tcPr>
            <w:tcW w:w="6875" w:type="dxa"/>
          </w:tcPr>
          <w:p w14:paraId="6A091468">
            <w:pPr>
              <w:pStyle w:val="13"/>
              <w:spacing w:before="65" w:line="248" w:lineRule="auto"/>
              <w:ind w:left="114" w:right="238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年度自我造血能力=考核评估年度累计收入/年</w:t>
            </w:r>
            <w:r>
              <w:rPr>
                <w:rFonts w:ascii="Times New Roman" w:hAnsi="Times New Roman" w:cs="Times New Roman" w:eastAsiaTheme="minorEastAsia"/>
                <w:color w:val="auto"/>
                <w:spacing w:val="-3"/>
                <w:sz w:val="20"/>
                <w:szCs w:val="20"/>
                <w:u w:val="none"/>
                <w:lang w:eastAsia="zh-CN"/>
              </w:rPr>
              <w:t>度运行经费(所有支出),按比例换算得分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3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pacing w:val="-3"/>
                <w:sz w:val="20"/>
                <w:szCs w:val="20"/>
                <w:u w:val="none"/>
                <w:lang w:eastAsia="zh-CN"/>
              </w:rPr>
              <w:t>满分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sz w:val="20"/>
                <w:szCs w:val="20"/>
                <w:u w:val="none"/>
                <w:lang w:val="en-US" w:eastAsia="zh-CN"/>
              </w:rPr>
              <w:t>2.5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pacing w:val="-3"/>
                <w:sz w:val="20"/>
                <w:szCs w:val="20"/>
                <w:u w:val="none"/>
                <w:lang w:eastAsia="zh-CN"/>
              </w:rPr>
              <w:t>分。</w:t>
            </w:r>
          </w:p>
          <w:p w14:paraId="1C271130">
            <w:pPr>
              <w:pStyle w:val="13"/>
              <w:spacing w:before="45" w:line="252" w:lineRule="auto"/>
              <w:ind w:left="504" w:right="4265"/>
              <w:jc w:val="both"/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  <w:t>1.注册满2年：≥10%;</w:t>
            </w:r>
            <w:r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  <w:t xml:space="preserve"> </w:t>
            </w:r>
          </w:p>
          <w:p w14:paraId="534B68DC">
            <w:pPr>
              <w:pStyle w:val="13"/>
              <w:spacing w:before="45" w:line="252" w:lineRule="auto"/>
              <w:ind w:left="504" w:right="4265"/>
              <w:jc w:val="both"/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  <w:t>2.注册满3年：≥50%;</w:t>
            </w:r>
            <w:r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  <w:t xml:space="preserve">  </w:t>
            </w:r>
          </w:p>
          <w:p w14:paraId="7042117C">
            <w:pPr>
              <w:pStyle w:val="13"/>
              <w:spacing w:before="45" w:line="252" w:lineRule="auto"/>
              <w:ind w:left="504" w:right="4265"/>
              <w:jc w:val="both"/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  <w:t>3.注册满4年：≥80%;</w:t>
            </w:r>
            <w:r>
              <w:rPr>
                <w:rFonts w:ascii="Times New Roman" w:hAnsi="Times New Roman" w:cs="Times New Roman" w:eastAsiaTheme="minorEastAsia"/>
                <w:color w:val="auto"/>
                <w:spacing w:val="4"/>
                <w:sz w:val="20"/>
                <w:szCs w:val="20"/>
                <w:u w:val="none"/>
                <w:lang w:eastAsia="zh-CN"/>
              </w:rPr>
              <w:t xml:space="preserve"> </w:t>
            </w:r>
          </w:p>
          <w:p w14:paraId="7960D4A9">
            <w:pPr>
              <w:pStyle w:val="13"/>
              <w:spacing w:before="45" w:line="252" w:lineRule="auto"/>
              <w:ind w:left="504" w:right="4265"/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3"/>
                <w:sz w:val="20"/>
                <w:szCs w:val="20"/>
                <w:u w:val="none"/>
                <w:lang w:eastAsia="zh-CN"/>
              </w:rPr>
              <w:t>4.注册满5年：≥100%。</w:t>
            </w:r>
          </w:p>
          <w:p w14:paraId="171AB594">
            <w:pPr>
              <w:pStyle w:val="13"/>
              <w:spacing w:before="62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</w:p>
          <w:p w14:paraId="3946E6BC">
            <w:pPr>
              <w:pStyle w:val="13"/>
              <w:spacing w:before="62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</w:t>
            </w:r>
          </w:p>
          <w:p w14:paraId="12CB5367">
            <w:pPr>
              <w:pStyle w:val="13"/>
              <w:spacing w:before="62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1.研究院考核评估年度除政府经费支持收入外的累计收入(竞争性横向收入、竞争性纵向收入、产业化公司占股收入等);</w:t>
            </w:r>
          </w:p>
          <w:p w14:paraId="1D4B6193">
            <w:pPr>
              <w:pStyle w:val="13"/>
              <w:spacing w:before="62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2.年度运行经费(研究院考核评估年度实际支出经费)。</w:t>
            </w:r>
          </w:p>
        </w:tc>
        <w:tc>
          <w:tcPr>
            <w:tcW w:w="3567" w:type="dxa"/>
            <w:vAlign w:val="center"/>
          </w:tcPr>
          <w:p w14:paraId="0519D0A0">
            <w:pPr>
              <w:pStyle w:val="13"/>
              <w:spacing w:before="65" w:line="248" w:lineRule="auto"/>
              <w:ind w:left="114" w:right="-43" w:rightChars="0"/>
              <w:jc w:val="both"/>
              <w:rPr>
                <w:rFonts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年度自我造血能力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  <w:t>=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考核评估年度累计收入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/年度运行经费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万元</w:t>
            </w:r>
            <w:r>
              <w:rPr>
                <w:rFonts w:hint="eastAsia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eastAsia="zh-CN"/>
              </w:rPr>
              <w:t>(所有支出)</w:t>
            </w:r>
          </w:p>
        </w:tc>
        <w:tc>
          <w:tcPr>
            <w:tcW w:w="705" w:type="dxa"/>
          </w:tcPr>
          <w:p w14:paraId="4A653369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</w:tbl>
    <w:p w14:paraId="4F860212">
      <w:pPr>
        <w:spacing w:line="64" w:lineRule="exact"/>
        <w:rPr>
          <w:rFonts w:cs="Times New Roman"/>
          <w:color w:val="auto"/>
          <w:u w:val="none"/>
        </w:rPr>
      </w:pPr>
    </w:p>
    <w:tbl>
      <w:tblPr>
        <w:tblStyle w:val="12"/>
        <w:tblW w:w="14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29"/>
        <w:gridCol w:w="1419"/>
        <w:gridCol w:w="7065"/>
        <w:gridCol w:w="2974"/>
        <w:gridCol w:w="4"/>
        <w:gridCol w:w="804"/>
      </w:tblGrid>
      <w:tr w14:paraId="32D5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54" w:type="dxa"/>
            <w:vAlign w:val="center"/>
          </w:tcPr>
          <w:p w14:paraId="026413EF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5F3FC991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1129" w:type="dxa"/>
            <w:vAlign w:val="center"/>
          </w:tcPr>
          <w:p w14:paraId="10853BA6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</w:t>
            </w:r>
          </w:p>
          <w:p w14:paraId="3A13CA93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估指标</w:t>
            </w:r>
          </w:p>
        </w:tc>
        <w:tc>
          <w:tcPr>
            <w:tcW w:w="1419" w:type="dxa"/>
            <w:vAlign w:val="center"/>
          </w:tcPr>
          <w:p w14:paraId="4D59CE35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2FA41CC7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10039" w:type="dxa"/>
            <w:gridSpan w:val="2"/>
            <w:vAlign w:val="center"/>
          </w:tcPr>
          <w:p w14:paraId="4902385B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808" w:type="dxa"/>
            <w:gridSpan w:val="2"/>
            <w:vAlign w:val="center"/>
          </w:tcPr>
          <w:p w14:paraId="3A9BCEF4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lang w:val="en-US" w:eastAsia="zh-CN"/>
              </w:rPr>
              <w:t>得分</w:t>
            </w:r>
          </w:p>
        </w:tc>
      </w:tr>
      <w:tr w14:paraId="2E14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0" w:hRule="atLeast"/>
        </w:trPr>
        <w:tc>
          <w:tcPr>
            <w:tcW w:w="654" w:type="dxa"/>
            <w:vAlign w:val="center"/>
          </w:tcPr>
          <w:p w14:paraId="55FE980A">
            <w:pPr>
              <w:pStyle w:val="13"/>
              <w:spacing w:before="68" w:line="184" w:lineRule="auto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u w:val="none"/>
              </w:rPr>
              <w:t>1</w:t>
            </w:r>
          </w:p>
        </w:tc>
        <w:tc>
          <w:tcPr>
            <w:tcW w:w="1129" w:type="dxa"/>
            <w:vAlign w:val="center"/>
          </w:tcPr>
          <w:p w14:paraId="6E0E652C">
            <w:pPr>
              <w:pStyle w:val="13"/>
              <w:spacing w:before="48" w:line="247" w:lineRule="auto"/>
              <w:ind w:left="194" w:right="153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社会</w:t>
            </w:r>
          </w:p>
          <w:p w14:paraId="1E8072F8">
            <w:pPr>
              <w:pStyle w:val="13"/>
              <w:spacing w:before="48" w:line="247" w:lineRule="auto"/>
              <w:ind w:left="194" w:right="153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经济</w:t>
            </w:r>
          </w:p>
          <w:p w14:paraId="51606448">
            <w:pPr>
              <w:pStyle w:val="13"/>
              <w:spacing w:before="48" w:line="247" w:lineRule="auto"/>
              <w:ind w:left="194" w:right="153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效益(85分)</w:t>
            </w:r>
          </w:p>
        </w:tc>
        <w:tc>
          <w:tcPr>
            <w:tcW w:w="1419" w:type="dxa"/>
            <w:vAlign w:val="center"/>
          </w:tcPr>
          <w:p w14:paraId="031EDB37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(六)</w:t>
            </w:r>
          </w:p>
          <w:p w14:paraId="08DB1B42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对园区</w:t>
            </w:r>
          </w:p>
          <w:p w14:paraId="30DD3699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贡献情况</w:t>
            </w:r>
          </w:p>
          <w:p w14:paraId="6142B9B5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(30分)</w:t>
            </w:r>
          </w:p>
        </w:tc>
        <w:tc>
          <w:tcPr>
            <w:tcW w:w="10039" w:type="dxa"/>
            <w:gridSpan w:val="2"/>
            <w:vAlign w:val="center"/>
          </w:tcPr>
          <w:p w14:paraId="29D30BEA">
            <w:pPr>
              <w:pStyle w:val="13"/>
              <w:spacing w:before="45" w:line="252" w:lineRule="auto"/>
              <w:ind w:left="-1" w:leftChars="0" w:right="3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主要围绕：</w:t>
            </w:r>
          </w:p>
          <w:p w14:paraId="33F1ED79">
            <w:pPr>
              <w:pStyle w:val="13"/>
              <w:spacing w:before="45" w:line="252" w:lineRule="auto"/>
              <w:ind w:left="-1" w:leftChars="0" w:right="3" w:rightChars="0" w:firstLine="400" w:firstLineChars="20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1.服务园区企业效果，企业满意度情况；(10分，组织新型研发机构服务对象填报满意度评价表）</w:t>
            </w:r>
          </w:p>
          <w:p w14:paraId="4B6C9C04">
            <w:pPr>
              <w:pStyle w:val="13"/>
              <w:spacing w:before="45" w:line="252" w:lineRule="auto"/>
              <w:ind w:left="-1" w:leftChars="0" w:right="3" w:rightChars="0" w:firstLine="400" w:firstLineChars="20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2.承担园区的重要工作情况；（10分，依据纳入高新区党工委、管委会、工作专班重点调度工作完成情况）</w:t>
            </w:r>
          </w:p>
          <w:p w14:paraId="31107422">
            <w:pPr>
              <w:pStyle w:val="13"/>
              <w:spacing w:before="45" w:line="252" w:lineRule="auto"/>
              <w:ind w:left="-1" w:leftChars="0" w:right="3" w:rightChars="0" w:firstLine="420" w:firstLineChars="20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u w:val="none"/>
                <w:lang w:val="en-US" w:eastAsia="zh-CN"/>
              </w:rPr>
              <w:t>3.为园区产业发展提供支持情况；（5分，依据向区党工委、管委会或区相关部门提交的相关报告，每季度不少于1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篇）</w:t>
            </w:r>
          </w:p>
          <w:p w14:paraId="00D5E5DE">
            <w:pPr>
              <w:pStyle w:val="13"/>
              <w:spacing w:before="45" w:line="252" w:lineRule="auto"/>
              <w:ind w:left="-1" w:leftChars="0" w:right="3" w:rightChars="0" w:firstLine="400" w:firstLineChars="200"/>
              <w:jc w:val="both"/>
              <w:rPr>
                <w:rFonts w:hint="eastAsia" w:ascii="Times New Roman" w:hAnsi="Times New Roman" w:cs="Times New Roman" w:eastAsiaTheme="minorEastAsia"/>
                <w:color w:val="auto"/>
                <w:spacing w:val="-3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4.为园区产业发展开展人才培养情况。（5分，依据人才引进、团队引进、技能培训等）</w:t>
            </w:r>
          </w:p>
          <w:p w14:paraId="2EDB567A">
            <w:pPr>
              <w:pStyle w:val="13"/>
              <w:spacing w:before="62"/>
              <w:jc w:val="both"/>
              <w:rPr>
                <w:rFonts w:ascii="Times New Roman" w:hAnsi="Times New Roman" w:cs="Times New Roman" w:eastAsiaTheme="minor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说明：此项由所新型研发机构主管部门（高新区科技发展局）依据被评单位工作总结报评分。</w:t>
            </w:r>
          </w:p>
        </w:tc>
        <w:tc>
          <w:tcPr>
            <w:tcW w:w="808" w:type="dxa"/>
            <w:gridSpan w:val="2"/>
          </w:tcPr>
          <w:p w14:paraId="38E83142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  <w:tr w14:paraId="3E8F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654" w:type="dxa"/>
            <w:vAlign w:val="center"/>
          </w:tcPr>
          <w:p w14:paraId="3B67A7CC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</w:t>
            </w:r>
          </w:p>
          <w:p w14:paraId="289822D6">
            <w:pPr>
              <w:tabs>
                <w:tab w:val="left" w:pos="480"/>
              </w:tabs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号</w:t>
            </w:r>
          </w:p>
        </w:tc>
        <w:tc>
          <w:tcPr>
            <w:tcW w:w="1129" w:type="dxa"/>
            <w:vAlign w:val="center"/>
          </w:tcPr>
          <w:p w14:paraId="13EF23BD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b/>
                <w:bCs/>
              </w:rPr>
              <w:t>考核评 估指标</w:t>
            </w:r>
          </w:p>
        </w:tc>
        <w:tc>
          <w:tcPr>
            <w:tcW w:w="1419" w:type="dxa"/>
            <w:vAlign w:val="center"/>
          </w:tcPr>
          <w:p w14:paraId="08176BD5">
            <w:pPr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考核评估</w:t>
            </w:r>
          </w:p>
          <w:p w14:paraId="3238F454">
            <w:pPr>
              <w:tabs>
                <w:tab w:val="left" w:pos="1200"/>
              </w:tabs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b/>
                <w:bCs/>
              </w:rPr>
              <w:t>内容及分值</w:t>
            </w:r>
          </w:p>
        </w:tc>
        <w:tc>
          <w:tcPr>
            <w:tcW w:w="7065" w:type="dxa"/>
            <w:vAlign w:val="center"/>
          </w:tcPr>
          <w:p w14:paraId="6ECBD0E3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</w:pPr>
            <w:r>
              <w:rPr>
                <w:b/>
                <w:bCs/>
              </w:rPr>
              <w:t>评分标准</w:t>
            </w:r>
          </w:p>
        </w:tc>
        <w:tc>
          <w:tcPr>
            <w:tcW w:w="2978" w:type="dxa"/>
            <w:gridSpan w:val="2"/>
            <w:vAlign w:val="center"/>
          </w:tcPr>
          <w:p w14:paraId="4ED9569F"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b/>
                <w:bCs/>
              </w:rPr>
              <w:t>自评数据</w:t>
            </w:r>
          </w:p>
        </w:tc>
        <w:tc>
          <w:tcPr>
            <w:tcW w:w="804" w:type="dxa"/>
            <w:vAlign w:val="center"/>
          </w:tcPr>
          <w:p w14:paraId="1543BC09">
            <w:pPr>
              <w:ind w:left="0" w:leftChars="0"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  <w:r>
              <w:rPr>
                <w:b/>
                <w:bCs/>
              </w:rPr>
              <w:t>得分</w:t>
            </w:r>
          </w:p>
        </w:tc>
      </w:tr>
      <w:tr w14:paraId="334FE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atLeast"/>
        </w:trPr>
        <w:tc>
          <w:tcPr>
            <w:tcW w:w="654" w:type="dxa"/>
            <w:vAlign w:val="center"/>
          </w:tcPr>
          <w:p w14:paraId="6673F3D4">
            <w:pPr>
              <w:pStyle w:val="13"/>
              <w:spacing w:before="48" w:line="247" w:lineRule="auto"/>
              <w:ind w:left="194" w:right="153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  <w:p w14:paraId="391864C3">
            <w:pPr>
              <w:pStyle w:val="13"/>
              <w:spacing w:before="48" w:line="247" w:lineRule="auto"/>
              <w:ind w:left="194" w:right="153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</w:t>
            </w:r>
          </w:p>
          <w:p w14:paraId="77DE652D">
            <w:pPr>
              <w:pStyle w:val="13"/>
              <w:spacing w:before="48" w:line="247" w:lineRule="auto"/>
              <w:ind w:left="194" w:right="153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1129" w:type="dxa"/>
            <w:vAlign w:val="center"/>
          </w:tcPr>
          <w:p w14:paraId="65AE4173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人才</w:t>
            </w:r>
          </w:p>
          <w:p w14:paraId="0D06371A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专项</w:t>
            </w:r>
          </w:p>
          <w:p w14:paraId="1D186EE0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工作</w:t>
            </w:r>
          </w:p>
          <w:p w14:paraId="6ADAFC94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(15分)</w:t>
            </w:r>
          </w:p>
        </w:tc>
        <w:tc>
          <w:tcPr>
            <w:tcW w:w="1419" w:type="dxa"/>
            <w:vAlign w:val="center"/>
          </w:tcPr>
          <w:p w14:paraId="3D631599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招才引才</w:t>
            </w:r>
          </w:p>
          <w:p w14:paraId="2B92ECDE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能   力</w:t>
            </w:r>
          </w:p>
          <w:p w14:paraId="31AF3E25">
            <w:pPr>
              <w:pStyle w:val="13"/>
              <w:spacing w:before="65" w:line="254" w:lineRule="auto"/>
              <w:ind w:left="0" w:leftChars="0" w:right="39" w:rightChars="0" w:hanging="4" w:firstLineChars="0"/>
              <w:jc w:val="center"/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(15分)</w:t>
            </w:r>
          </w:p>
        </w:tc>
        <w:tc>
          <w:tcPr>
            <w:tcW w:w="7065" w:type="dxa"/>
            <w:vAlign w:val="center"/>
          </w:tcPr>
          <w:p w14:paraId="597E2C3A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1.成功从我市申报推荐的国家级重大人才工程，“火炬”计划申报人数1.5分/名，入选3分，国家高层次人才特殊支持计划申报人数1.5分/名。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满分3分；</w:t>
            </w:r>
          </w:p>
          <w:p w14:paraId="58738BDA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2.引进国家级人才2分/名，引进省外高层次科技人才团队数量得1.5分/个，教授或同级别正高职称人员1分/名。柔性引进按50%计分。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满分4分；</w:t>
            </w:r>
          </w:p>
          <w:p w14:paraId="63C921C7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3.引进符合江西省高层次人才认定标准ABCDE类人才0.5分/人，硕士或副高级职称人员0.2分/名，柔性引进按50%计分。本科人员0.1分/名。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满分5分；</w:t>
            </w:r>
          </w:p>
          <w:p w14:paraId="42786C76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4.常驻研发人员占职工总数60%以上得1分，硕士学历或副高职称以上研发人员占全部研发人员60%以上得1分，固定研发人员高级职称达到5人以上得1分。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满分3分。</w:t>
            </w:r>
          </w:p>
          <w:p w14:paraId="3104B847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0"/>
                <w:szCs w:val="20"/>
                <w:u w:val="none"/>
                <w:lang w:val="en-US" w:eastAsia="zh-CN"/>
              </w:rPr>
              <w:t>说明 ：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以上每项需提供相应佐证材料。新型研发机构引进的高层次人才，根据聘用合同、在景时间及社保关系(或实际工资支付关系)开展服务情况、 车船票住宿等进行界定，柔性引进人才工作时间一般不少于60天。对于博士、硕士、高级职称等人员，需提供学位证、职称证书等佐证材料。</w:t>
            </w:r>
          </w:p>
          <w:p w14:paraId="0801902E">
            <w:pPr>
              <w:pStyle w:val="13"/>
              <w:spacing w:before="62"/>
              <w:rPr>
                <w:rFonts w:hint="eastAsia" w:ascii="Times New Roman" w:hAnsi="Times New Roman" w:cs="Times New Roman" w:eastAsiaTheme="minorEastAsia"/>
                <w:color w:val="auto"/>
                <w:spacing w:val="-3"/>
                <w:u w:val="none"/>
                <w:lang w:val="en-US" w:eastAsia="zh-CN"/>
              </w:rPr>
            </w:pPr>
          </w:p>
          <w:p w14:paraId="2EAB3221">
            <w:pPr>
              <w:pStyle w:val="13"/>
              <w:spacing w:before="62"/>
              <w:rPr>
                <w:rFonts w:hint="default" w:ascii="Times New Roman" w:hAnsi="Times New Roman" w:cs="Times New Roman" w:eastAsiaTheme="minorEastAsia"/>
                <w:color w:val="auto"/>
                <w:spacing w:val="-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pacing w:val="-3"/>
                <w:u w:val="none"/>
                <w:lang w:val="en-US" w:eastAsia="zh-CN"/>
              </w:rPr>
              <w:t>说明：此项由园区人才工作牵头部门（党群工作部）依据评分标准打分。</w:t>
            </w:r>
          </w:p>
        </w:tc>
        <w:tc>
          <w:tcPr>
            <w:tcW w:w="2978" w:type="dxa"/>
            <w:gridSpan w:val="2"/>
            <w:vAlign w:val="center"/>
          </w:tcPr>
          <w:p w14:paraId="6196BA71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1.成功从我市申报推荐的国家级重大人才工程(“火炬”计划)申报人数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 ，入选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_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 xml:space="preserve"> 名(国家高层次人才特殊支持计划)申报人数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 ；</w:t>
            </w:r>
          </w:p>
          <w:p w14:paraId="110F43D3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2.引进国家级人才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名(全职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名，柔性   名),引进省外高层次科技人才团队数量    个(全职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个，柔性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个),教授或同级别正高职称人员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名(全职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名，柔性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名);</w:t>
            </w:r>
          </w:p>
          <w:p w14:paraId="11A9BDD0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3.引进符合江西省高层次人才认定标准ABCDE类人才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名(全职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名，柔性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名),硕士或副高级职称人员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名，本科人员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名；</w:t>
            </w:r>
          </w:p>
          <w:p w14:paraId="3B18C935">
            <w:pPr>
              <w:pStyle w:val="13"/>
              <w:spacing w:before="45" w:line="252" w:lineRule="auto"/>
              <w:ind w:left="-1" w:leftChars="0" w:right="85" w:rightChars="0" w:firstLine="0" w:firstLineChars="0"/>
              <w:jc w:val="both"/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4.常驻研发人员占职工总数 ,硕士学历或副高职称以上研发人员占全部研发人员，固定研发人员高级职称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u w:val="none"/>
                <w:lang w:val="en-US" w:eastAsia="zh-CN"/>
              </w:rPr>
              <w:t>名。</w:t>
            </w:r>
          </w:p>
        </w:tc>
        <w:tc>
          <w:tcPr>
            <w:tcW w:w="804" w:type="dxa"/>
          </w:tcPr>
          <w:p w14:paraId="40EBDB7B">
            <w:pPr>
              <w:rPr>
                <w:rFonts w:ascii="Times New Roman" w:hAnsi="Times New Roman" w:cs="Times New Roman" w:eastAsiaTheme="minorEastAsia"/>
                <w:color w:val="auto"/>
                <w:u w:val="none"/>
              </w:rPr>
            </w:pPr>
          </w:p>
        </w:tc>
      </w:tr>
      <w:tr w14:paraId="2984F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4049" w:type="dxa"/>
            <w:gridSpan w:val="7"/>
            <w:vAlign w:val="top"/>
          </w:tcPr>
          <w:p w14:paraId="4012BA61">
            <w:pPr>
              <w:ind w:left="0" w:leftChars="0" w:firstLine="0" w:firstLineChars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总计得分：</w:t>
            </w:r>
          </w:p>
          <w:p w14:paraId="2081E2DF">
            <w:pPr>
              <w:ind w:left="0" w:leftChars="0" w:firstLine="0" w:firstLineChars="0"/>
              <w:jc w:val="both"/>
              <w:rPr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  <w14:ligatures w14:val="none"/>
              </w:rPr>
              <w:t>备注：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  <w14:ligatures w14:val="none"/>
              </w:rPr>
              <w:t>考核评分作为拨付财政补助资金的依据，被考核单位评分在90分及以上的，财政补助资金按照协议约定的100%拨付；被考核单位评分在80分（含80分）-90分的，财政补助资金按照协议约定的90%拨付；被考核单位评分在70分（含70分）-80分的，财政补助资金按照协议约定的80%拨付；被考核单位评分在60分（含60分）-70分的，财政补助资金按照协议约定的70%拨付；被考核单位评分在60分以下的，暂停当年财政补助资金。</w:t>
            </w:r>
          </w:p>
        </w:tc>
      </w:tr>
    </w:tbl>
    <w:p w14:paraId="406099C4">
      <w:pPr>
        <w:pStyle w:val="4"/>
        <w:spacing w:before="91" w:line="221" w:lineRule="auto"/>
        <w:rPr>
          <w:rFonts w:ascii="Times New Roman" w:hAnsi="Times New Roman" w:cs="Times New Roman"/>
          <w:color w:val="auto"/>
          <w:sz w:val="37"/>
          <w:szCs w:val="37"/>
          <w:u w:val="none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8DE0E-1000-4342-A05C-527952FB5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A3D93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5AF92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5AF92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D79C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2D3B0"/>
    <w:multiLevelType w:val="singleLevel"/>
    <w:tmpl w:val="2142D3B0"/>
    <w:lvl w:ilvl="0" w:tentative="0">
      <w:start w:val="1"/>
      <w:numFmt w:val="chineseCounting"/>
      <w:pStyle w:val="2"/>
      <w:suff w:val="nothing"/>
      <w:lvlText w:val="%1、"/>
      <w:lvlJc w:val="left"/>
      <w:pPr>
        <w:ind w:left="240" w:firstLine="420"/>
      </w:pPr>
      <w:rPr>
        <w:rFonts w:hint="eastAsia"/>
      </w:rPr>
    </w:lvl>
  </w:abstractNum>
  <w:abstractNum w:abstractNumId="1">
    <w:nsid w:val="573C8043"/>
    <w:multiLevelType w:val="singleLevel"/>
    <w:tmpl w:val="573C8043"/>
    <w:lvl w:ilvl="0" w:tentative="0">
      <w:start w:val="1"/>
      <w:numFmt w:val="chineseCounting"/>
      <w:pStyle w:val="3"/>
      <w:suff w:val="nothing"/>
      <w:lvlText w:val="（%1）"/>
      <w:lvlJc w:val="left"/>
      <w:pPr>
        <w:ind w:left="-122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kNDg0NTIyOTI0YThjYjI5MmIxMTVmMzA3NjNiNjkifQ=="/>
  </w:docVars>
  <w:rsids>
    <w:rsidRoot w:val="7EC131DF"/>
    <w:rsid w:val="00030F4E"/>
    <w:rsid w:val="000A1A24"/>
    <w:rsid w:val="000A4720"/>
    <w:rsid w:val="000D6C01"/>
    <w:rsid w:val="00196F11"/>
    <w:rsid w:val="001A4866"/>
    <w:rsid w:val="00217005"/>
    <w:rsid w:val="002344F7"/>
    <w:rsid w:val="00253C98"/>
    <w:rsid w:val="00261126"/>
    <w:rsid w:val="00273422"/>
    <w:rsid w:val="00283124"/>
    <w:rsid w:val="002C4B09"/>
    <w:rsid w:val="002D7EDD"/>
    <w:rsid w:val="002E2AC1"/>
    <w:rsid w:val="00354D50"/>
    <w:rsid w:val="003C1864"/>
    <w:rsid w:val="003E4C76"/>
    <w:rsid w:val="00425E90"/>
    <w:rsid w:val="0043353D"/>
    <w:rsid w:val="004561B7"/>
    <w:rsid w:val="004C41B3"/>
    <w:rsid w:val="004F13AE"/>
    <w:rsid w:val="00502FE8"/>
    <w:rsid w:val="0051311A"/>
    <w:rsid w:val="005463D1"/>
    <w:rsid w:val="00553619"/>
    <w:rsid w:val="005C088A"/>
    <w:rsid w:val="005C7FF5"/>
    <w:rsid w:val="005D03A5"/>
    <w:rsid w:val="005D2425"/>
    <w:rsid w:val="00617E6B"/>
    <w:rsid w:val="006561C5"/>
    <w:rsid w:val="006A3C9B"/>
    <w:rsid w:val="006E4EA6"/>
    <w:rsid w:val="006F5284"/>
    <w:rsid w:val="0071334E"/>
    <w:rsid w:val="00771B65"/>
    <w:rsid w:val="00790E18"/>
    <w:rsid w:val="00836766"/>
    <w:rsid w:val="0087139E"/>
    <w:rsid w:val="008A0D60"/>
    <w:rsid w:val="008A1E12"/>
    <w:rsid w:val="008D42C4"/>
    <w:rsid w:val="008E575F"/>
    <w:rsid w:val="00903955"/>
    <w:rsid w:val="009432C9"/>
    <w:rsid w:val="00955F52"/>
    <w:rsid w:val="0095742A"/>
    <w:rsid w:val="0096754E"/>
    <w:rsid w:val="009D0418"/>
    <w:rsid w:val="009D64AA"/>
    <w:rsid w:val="009E148D"/>
    <w:rsid w:val="009E54F7"/>
    <w:rsid w:val="00A05EC1"/>
    <w:rsid w:val="00A068C6"/>
    <w:rsid w:val="00AD5EEE"/>
    <w:rsid w:val="00B24FEB"/>
    <w:rsid w:val="00B738CA"/>
    <w:rsid w:val="00C63D70"/>
    <w:rsid w:val="00D01A41"/>
    <w:rsid w:val="00D0480C"/>
    <w:rsid w:val="00D37222"/>
    <w:rsid w:val="00D9149B"/>
    <w:rsid w:val="00DD4267"/>
    <w:rsid w:val="00E01551"/>
    <w:rsid w:val="00E62AEA"/>
    <w:rsid w:val="00EA430E"/>
    <w:rsid w:val="00EA52CA"/>
    <w:rsid w:val="00EE4ED7"/>
    <w:rsid w:val="00F0231C"/>
    <w:rsid w:val="00F15518"/>
    <w:rsid w:val="00F37F8B"/>
    <w:rsid w:val="00F5326B"/>
    <w:rsid w:val="00F71AF0"/>
    <w:rsid w:val="00F90E35"/>
    <w:rsid w:val="00FD35FA"/>
    <w:rsid w:val="013A68AC"/>
    <w:rsid w:val="02F361E7"/>
    <w:rsid w:val="030E5CC5"/>
    <w:rsid w:val="032B23AF"/>
    <w:rsid w:val="04D8432A"/>
    <w:rsid w:val="06B036DE"/>
    <w:rsid w:val="080812F8"/>
    <w:rsid w:val="08FA5590"/>
    <w:rsid w:val="09DB3168"/>
    <w:rsid w:val="0A1B3564"/>
    <w:rsid w:val="0D277019"/>
    <w:rsid w:val="0E3C7F4D"/>
    <w:rsid w:val="11085B2E"/>
    <w:rsid w:val="112A6783"/>
    <w:rsid w:val="12DC585B"/>
    <w:rsid w:val="13902992"/>
    <w:rsid w:val="153C0833"/>
    <w:rsid w:val="17E87935"/>
    <w:rsid w:val="1818758B"/>
    <w:rsid w:val="1892508E"/>
    <w:rsid w:val="1B162E37"/>
    <w:rsid w:val="1B3D79AC"/>
    <w:rsid w:val="1DFE0C99"/>
    <w:rsid w:val="1E34479D"/>
    <w:rsid w:val="1ECE06D1"/>
    <w:rsid w:val="1EF31336"/>
    <w:rsid w:val="1EF96E1C"/>
    <w:rsid w:val="2043454C"/>
    <w:rsid w:val="21C11BDB"/>
    <w:rsid w:val="21D00296"/>
    <w:rsid w:val="22715FC0"/>
    <w:rsid w:val="22C925A9"/>
    <w:rsid w:val="239D3C69"/>
    <w:rsid w:val="28416956"/>
    <w:rsid w:val="2A375DBA"/>
    <w:rsid w:val="2AF7102C"/>
    <w:rsid w:val="2B2F349C"/>
    <w:rsid w:val="2B4C1C56"/>
    <w:rsid w:val="2B5B780D"/>
    <w:rsid w:val="2E190CCF"/>
    <w:rsid w:val="2FC81659"/>
    <w:rsid w:val="31464ABB"/>
    <w:rsid w:val="31817666"/>
    <w:rsid w:val="32537490"/>
    <w:rsid w:val="335C6144"/>
    <w:rsid w:val="33B0446E"/>
    <w:rsid w:val="34756830"/>
    <w:rsid w:val="34C95DE4"/>
    <w:rsid w:val="356675D7"/>
    <w:rsid w:val="35B621D0"/>
    <w:rsid w:val="360143C2"/>
    <w:rsid w:val="368E5CF6"/>
    <w:rsid w:val="36CE0D7A"/>
    <w:rsid w:val="36E26DEF"/>
    <w:rsid w:val="36E52680"/>
    <w:rsid w:val="3993687F"/>
    <w:rsid w:val="3B2D5B75"/>
    <w:rsid w:val="3DED20FD"/>
    <w:rsid w:val="3E0A0FE6"/>
    <w:rsid w:val="3EE65ED1"/>
    <w:rsid w:val="3F7E0DA8"/>
    <w:rsid w:val="3FC80121"/>
    <w:rsid w:val="41827323"/>
    <w:rsid w:val="426254CD"/>
    <w:rsid w:val="427A45BE"/>
    <w:rsid w:val="481729E6"/>
    <w:rsid w:val="4B3B3B65"/>
    <w:rsid w:val="4B7755EC"/>
    <w:rsid w:val="4DB20403"/>
    <w:rsid w:val="51560E32"/>
    <w:rsid w:val="522E2CD6"/>
    <w:rsid w:val="527728CF"/>
    <w:rsid w:val="549F2C45"/>
    <w:rsid w:val="558C48E3"/>
    <w:rsid w:val="55BC42AE"/>
    <w:rsid w:val="58862C8E"/>
    <w:rsid w:val="589A10C5"/>
    <w:rsid w:val="58EF39A2"/>
    <w:rsid w:val="5986716D"/>
    <w:rsid w:val="5A311993"/>
    <w:rsid w:val="5EA44C93"/>
    <w:rsid w:val="5EE31AFE"/>
    <w:rsid w:val="5F011E9E"/>
    <w:rsid w:val="614C4F26"/>
    <w:rsid w:val="61DC62AA"/>
    <w:rsid w:val="623033EF"/>
    <w:rsid w:val="63500CFE"/>
    <w:rsid w:val="64202DC6"/>
    <w:rsid w:val="642E1C76"/>
    <w:rsid w:val="659333F2"/>
    <w:rsid w:val="65A41DFF"/>
    <w:rsid w:val="67B05D7F"/>
    <w:rsid w:val="69004F74"/>
    <w:rsid w:val="69E06D4F"/>
    <w:rsid w:val="6A307033"/>
    <w:rsid w:val="6C1031F3"/>
    <w:rsid w:val="6CC91EDE"/>
    <w:rsid w:val="6EEF1D13"/>
    <w:rsid w:val="6F17502C"/>
    <w:rsid w:val="6F4F2EFC"/>
    <w:rsid w:val="713F02D6"/>
    <w:rsid w:val="71DD2180"/>
    <w:rsid w:val="73687EDB"/>
    <w:rsid w:val="74000DE6"/>
    <w:rsid w:val="746F2FAE"/>
    <w:rsid w:val="766E676B"/>
    <w:rsid w:val="772D63A0"/>
    <w:rsid w:val="78006D3F"/>
    <w:rsid w:val="79E420E3"/>
    <w:rsid w:val="7A543372"/>
    <w:rsid w:val="7BC70FD5"/>
    <w:rsid w:val="7CFA580E"/>
    <w:rsid w:val="7EC131DF"/>
    <w:rsid w:val="7EC873B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100" w:beforeLines="100" w:after="50" w:afterLines="50"/>
      <w:ind w:left="0" w:firstLine="480"/>
      <w:jc w:val="left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/>
      <w:ind w:left="0" w:firstLine="602"/>
      <w:jc w:val="left"/>
      <w:outlineLvl w:val="1"/>
    </w:pPr>
    <w:rPr>
      <w:rFonts w:cs="Times New Roman"/>
      <w:b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30"/>
      <w:szCs w:val="30"/>
      <w:lang w:eastAsia="en-US"/>
      <w14:ligatures w14:val="non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标题 1 字符"/>
    <w:link w:val="2"/>
    <w:qFormat/>
    <w:uiPriority w:val="0"/>
    <w:rPr>
      <w:rFonts w:eastAsia="宋体"/>
      <w:b/>
      <w:kern w:val="44"/>
      <w:sz w:val="30"/>
    </w:rPr>
  </w:style>
  <w:style w:type="paragraph" w:styleId="10">
    <w:name w:val="List Paragraph"/>
    <w:basedOn w:val="1"/>
    <w:unhideWhenUsed/>
    <w:qFormat/>
    <w:uiPriority w:val="99"/>
    <w:pPr>
      <w:ind w:firstLine="420"/>
    </w:pPr>
  </w:style>
  <w:style w:type="character" w:customStyle="1" w:styleId="11">
    <w:name w:val="正文文本 字符"/>
    <w:basedOn w:val="8"/>
    <w:link w:val="4"/>
    <w:qFormat/>
    <w:uiPriority w:val="0"/>
    <w:rPr>
      <w:rFonts w:ascii="黑体" w:hAnsi="黑体" w:eastAsia="黑体" w:cs="黑体"/>
      <w:snapToGrid w:val="0"/>
      <w:color w:val="000000"/>
      <w:sz w:val="30"/>
      <w:szCs w:val="30"/>
      <w:lang w:eastAsia="en-US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宋体" w:hAnsi="宋体"/>
      <w:snapToGrid w:val="0"/>
      <w:color w:val="000000"/>
      <w:kern w:val="0"/>
      <w:sz w:val="21"/>
      <w:szCs w:val="21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6213</Words>
  <Characters>6556</Characters>
  <Lines>50</Lines>
  <Paragraphs>14</Paragraphs>
  <TotalTime>4</TotalTime>
  <ScaleCrop>false</ScaleCrop>
  <LinksUpToDate>false</LinksUpToDate>
  <CharactersWithSpaces>6899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2025-01-08T07:26:00Z</dcterms:created>
  <dc:creator>l</dc:creator>
  <cp:lastModifiedBy>黑色辉光</cp:lastModifiedBy>
  <cp:lastPrinted>2025-03-05T03:11:00Z</cp:lastPrinted>
  <dcterms:modified xsi:type="dcterms:W3CDTF">2025-04-28T07:01:40Z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CD08D56F25CB4BC4A68782EEF42B8E80_13</vt:lpwstr>
  </property>
  <property fmtid="{D5CDD505-2E9C-101B-9397-08002B2CF9AE}" pid="4" name="KSOTemplateDocerSaveRecord">
    <vt:lpwstr>eyJoZGlkIjoiZDM0Y2UyMmE0MGYzYWM0MTEzNmE5OWEyNjViYjExODUiLCJ1c2VySWQiOiIzNTQ1NjgzODUifQ==</vt:lpwstr>
  </property>
</Properties>
</file>