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817B15">
      <w:pPr>
        <w:shd w:val="clear" w:color="auto" w:fill="FFFFFF"/>
        <w:spacing w:line="560" w:lineRule="exact"/>
        <w:rPr>
          <w:rFonts w:hint="eastAsia" w:ascii="楷体_GB2312" w:hAnsi="Times New Roman" w:eastAsia="楷体_GB2312"/>
          <w:spacing w:val="16"/>
          <w:sz w:val="32"/>
          <w:szCs w:val="32"/>
        </w:rPr>
      </w:pPr>
    </w:p>
    <w:p w14:paraId="76FE3341">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关于景德镇高新区202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rPr>
        <w:t>年预算执行情况和202</w:t>
      </w:r>
      <w:r>
        <w:rPr>
          <w:rFonts w:hint="eastAsia" w:ascii="方正小标宋简体" w:hAnsi="方正小标宋简体" w:eastAsia="方正小标宋简体" w:cs="方正小标宋简体"/>
          <w:sz w:val="44"/>
          <w:szCs w:val="44"/>
          <w:lang w:val="en-US" w:eastAsia="zh-CN"/>
        </w:rPr>
        <w:t>6</w:t>
      </w:r>
      <w:r>
        <w:rPr>
          <w:rFonts w:hint="eastAsia" w:ascii="方正小标宋简体" w:hAnsi="方正小标宋简体" w:eastAsia="方正小标宋简体" w:cs="方正小标宋简体"/>
          <w:sz w:val="44"/>
          <w:szCs w:val="44"/>
        </w:rPr>
        <w:t>年预算草案的报告（</w:t>
      </w:r>
      <w:r>
        <w:rPr>
          <w:rFonts w:hint="eastAsia" w:ascii="方正小标宋简体" w:hAnsi="方正小标宋简体" w:eastAsia="方正小标宋简体" w:cs="方正小标宋简体"/>
          <w:sz w:val="44"/>
          <w:szCs w:val="44"/>
          <w:lang w:eastAsia="zh-CN"/>
        </w:rPr>
        <w:t>预</w:t>
      </w:r>
      <w:r>
        <w:rPr>
          <w:rFonts w:hint="eastAsia" w:ascii="方正小标宋简体" w:hAnsi="方正小标宋简体" w:eastAsia="方正小标宋简体" w:cs="方正小标宋简体"/>
          <w:sz w:val="44"/>
          <w:szCs w:val="44"/>
        </w:rPr>
        <w:t>审稿）</w:t>
      </w:r>
    </w:p>
    <w:p w14:paraId="4E67605A">
      <w:pPr>
        <w:spacing w:line="560" w:lineRule="exact"/>
        <w:jc w:val="center"/>
        <w:rPr>
          <w:rFonts w:hint="eastAsia" w:ascii="方正小标宋简体" w:hAnsi="方正小标宋简体" w:eastAsia="方正小标宋简体" w:cs="方正小标宋简体"/>
          <w:sz w:val="44"/>
          <w:szCs w:val="44"/>
        </w:rPr>
      </w:pPr>
    </w:p>
    <w:p w14:paraId="0637DF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p>
    <w:p w14:paraId="2583373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color w:val="auto"/>
          <w:sz w:val="32"/>
          <w:szCs w:val="32"/>
          <w:highlight w:val="none"/>
        </w:rPr>
      </w:pPr>
      <w:bookmarkStart w:id="0" w:name="_Hlk502158080"/>
      <w:r>
        <w:rPr>
          <w:rFonts w:hint="eastAsia" w:ascii="仿宋_GB2312" w:hAnsi="仿宋_GB2312" w:eastAsia="仿宋_GB2312" w:cs="仿宋_GB2312"/>
          <w:b w:val="0"/>
          <w:bCs w:val="0"/>
          <w:color w:val="auto"/>
          <w:sz w:val="32"/>
          <w:szCs w:val="32"/>
          <w:highlight w:val="none"/>
        </w:rPr>
        <w:t>各位代表：</w:t>
      </w:r>
    </w:p>
    <w:bookmarkEnd w:id="0"/>
    <w:p w14:paraId="44E5A9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cs="仿宋_GB2312"/>
          <w:b w:val="0"/>
          <w:bCs w:val="0"/>
          <w:color w:val="auto"/>
          <w:sz w:val="32"/>
          <w:szCs w:val="32"/>
          <w:highlight w:val="none"/>
          <w:lang w:val="en-US" w:eastAsia="zh-CN"/>
        </w:rPr>
        <w:t>2025</w:t>
      </w:r>
      <w:r>
        <w:rPr>
          <w:rFonts w:hint="eastAsia" w:ascii="仿宋_GB2312" w:hAnsi="仿宋_GB2312" w:eastAsia="仿宋_GB2312" w:cs="仿宋_GB2312"/>
          <w:b w:val="0"/>
          <w:bCs w:val="0"/>
          <w:color w:val="auto"/>
          <w:sz w:val="32"/>
          <w:szCs w:val="32"/>
          <w:highlight w:val="none"/>
        </w:rPr>
        <w:t>年</w:t>
      </w:r>
      <w:r>
        <w:rPr>
          <w:rFonts w:hint="eastAsia" w:ascii="仿宋_GB2312" w:hAnsi="仿宋_GB2312" w:cs="仿宋_GB2312"/>
          <w:b w:val="0"/>
          <w:bCs w:val="0"/>
          <w:color w:val="auto"/>
          <w:sz w:val="32"/>
          <w:szCs w:val="32"/>
          <w:highlight w:val="none"/>
          <w:lang w:eastAsia="zh-CN"/>
        </w:rPr>
        <w:t>是“十四五”规划的收官之年，</w:t>
      </w:r>
      <w:r>
        <w:rPr>
          <w:rFonts w:hint="eastAsia" w:ascii="仿宋_GB2312" w:hAnsi="仿宋_GB2312" w:cs="仿宋_GB2312"/>
          <w:b w:val="0"/>
          <w:bCs w:val="0"/>
          <w:color w:val="auto"/>
          <w:sz w:val="32"/>
          <w:szCs w:val="32"/>
          <w:highlight w:val="none"/>
          <w:lang w:val="en-US" w:eastAsia="zh-CN"/>
        </w:rPr>
        <w:t>高新区财政始终</w:t>
      </w:r>
      <w:r>
        <w:rPr>
          <w:rFonts w:hint="eastAsia" w:ascii="仿宋_GB2312" w:hAnsi="仿宋_GB2312" w:eastAsia="仿宋_GB2312" w:cs="仿宋_GB2312"/>
          <w:b w:val="0"/>
          <w:bCs w:val="0"/>
          <w:color w:val="auto"/>
          <w:sz w:val="32"/>
          <w:szCs w:val="32"/>
          <w:highlight w:val="none"/>
        </w:rPr>
        <w:t>坚持以习近平新时代中国特色社会主义思想为指导</w:t>
      </w:r>
      <w:r>
        <w:rPr>
          <w:rFonts w:hint="eastAsia" w:ascii="仿宋_GB2312" w:hAnsi="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全面落实中央和省委、市委经济工作会议精神，坚持稳中求进工作总基调，精准有力实施</w:t>
      </w:r>
      <w:r>
        <w:rPr>
          <w:rFonts w:hint="eastAsia" w:ascii="仿宋_GB2312" w:hAnsi="仿宋_GB2312" w:cs="仿宋_GB2312"/>
          <w:b w:val="0"/>
          <w:bCs w:val="0"/>
          <w:color w:val="auto"/>
          <w:sz w:val="32"/>
          <w:szCs w:val="32"/>
          <w:highlight w:val="none"/>
          <w:lang w:eastAsia="zh-CN"/>
        </w:rPr>
        <w:t>积极的财政政策</w:t>
      </w:r>
      <w:r>
        <w:rPr>
          <w:rFonts w:hint="eastAsia" w:ascii="仿宋_GB2312" w:hAnsi="仿宋_GB2312" w:eastAsia="仿宋_GB2312" w:cs="仿宋_GB2312"/>
          <w:b w:val="0"/>
          <w:bCs w:val="0"/>
          <w:color w:val="auto"/>
          <w:sz w:val="32"/>
          <w:szCs w:val="32"/>
          <w:highlight w:val="none"/>
        </w:rPr>
        <w:t>，牢固树立过“紧日子”思想，加快建立现代财政制度，财政预算执行情况总体良好，为圆满完成全年经济社会发展目标提供了坚实的财力保障。现根据市政府统一部署，按《预算法》要求，将景德镇高新区202</w:t>
      </w:r>
      <w:r>
        <w:rPr>
          <w:rFonts w:hint="eastAsia" w:ascii="仿宋_GB2312" w:hAnsi="仿宋_GB2312" w:cs="仿宋_GB2312"/>
          <w:b w:val="0"/>
          <w:bCs w:val="0"/>
          <w:color w:val="auto"/>
          <w:sz w:val="32"/>
          <w:szCs w:val="32"/>
          <w:highlight w:val="none"/>
          <w:lang w:val="en-US" w:eastAsia="zh-CN"/>
        </w:rPr>
        <w:t>5</w:t>
      </w:r>
      <w:r>
        <w:rPr>
          <w:rFonts w:hint="eastAsia" w:ascii="仿宋_GB2312" w:hAnsi="仿宋_GB2312" w:eastAsia="仿宋_GB2312" w:cs="仿宋_GB2312"/>
          <w:b w:val="0"/>
          <w:bCs w:val="0"/>
          <w:color w:val="auto"/>
          <w:sz w:val="32"/>
          <w:szCs w:val="32"/>
          <w:highlight w:val="none"/>
        </w:rPr>
        <w:t>年预算执行情况和202</w:t>
      </w:r>
      <w:r>
        <w:rPr>
          <w:rFonts w:hint="eastAsia" w:ascii="仿宋_GB2312" w:hAnsi="仿宋_GB2312" w:cs="仿宋_GB2312"/>
          <w:b w:val="0"/>
          <w:bCs w:val="0"/>
          <w:color w:val="auto"/>
          <w:sz w:val="32"/>
          <w:szCs w:val="32"/>
          <w:highlight w:val="none"/>
          <w:lang w:val="en-US" w:eastAsia="zh-CN"/>
        </w:rPr>
        <w:t>6</w:t>
      </w:r>
      <w:r>
        <w:rPr>
          <w:rFonts w:hint="eastAsia" w:ascii="仿宋_GB2312" w:hAnsi="仿宋_GB2312" w:eastAsia="仿宋_GB2312" w:cs="仿宋_GB2312"/>
          <w:b w:val="0"/>
          <w:bCs w:val="0"/>
          <w:color w:val="auto"/>
          <w:sz w:val="32"/>
          <w:szCs w:val="32"/>
          <w:highlight w:val="none"/>
        </w:rPr>
        <w:t>年预算草案情况汇报如下：</w:t>
      </w:r>
    </w:p>
    <w:p w14:paraId="60E141A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黑体" w:hAnsi="黑体" w:eastAsia="黑体" w:cs="黑体"/>
          <w:b/>
          <w:bCs/>
          <w:color w:val="auto"/>
          <w:sz w:val="32"/>
          <w:szCs w:val="32"/>
          <w:highlight w:val="none"/>
        </w:rPr>
      </w:pPr>
      <w:r>
        <w:rPr>
          <w:rFonts w:hint="eastAsia" w:ascii="黑体" w:hAnsi="黑体" w:eastAsia="黑体" w:cs="黑体"/>
          <w:b/>
          <w:bCs/>
          <w:color w:val="auto"/>
          <w:sz w:val="32"/>
          <w:szCs w:val="32"/>
          <w:highlight w:val="none"/>
          <w:lang w:val="en-US" w:eastAsia="zh-CN"/>
        </w:rPr>
        <w:t>一、2025</w:t>
      </w:r>
      <w:r>
        <w:rPr>
          <w:rFonts w:hint="eastAsia" w:ascii="黑体" w:hAnsi="黑体" w:eastAsia="黑体" w:cs="黑体"/>
          <w:b/>
          <w:bCs/>
          <w:color w:val="auto"/>
          <w:sz w:val="32"/>
          <w:szCs w:val="32"/>
          <w:highlight w:val="none"/>
        </w:rPr>
        <w:t>年</w:t>
      </w:r>
      <w:r>
        <w:rPr>
          <w:rFonts w:hint="eastAsia" w:ascii="黑体" w:hAnsi="黑体" w:eastAsia="黑体" w:cs="黑体"/>
          <w:b/>
          <w:bCs/>
          <w:color w:val="auto"/>
          <w:sz w:val="32"/>
          <w:szCs w:val="32"/>
          <w:highlight w:val="none"/>
          <w:lang w:val="en-US" w:eastAsia="zh-CN"/>
        </w:rPr>
        <w:t>高新区</w:t>
      </w:r>
      <w:r>
        <w:rPr>
          <w:rFonts w:hint="eastAsia" w:ascii="黑体" w:hAnsi="黑体" w:eastAsia="黑体" w:cs="黑体"/>
          <w:b/>
          <w:bCs/>
          <w:color w:val="auto"/>
          <w:sz w:val="32"/>
          <w:szCs w:val="32"/>
          <w:highlight w:val="none"/>
        </w:rPr>
        <w:t>预算执行情况</w:t>
      </w:r>
    </w:p>
    <w:p w14:paraId="64A1F64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color w:val="auto"/>
          <w:sz w:val="32"/>
          <w:szCs w:val="32"/>
          <w:highlight w:val="none"/>
        </w:rPr>
      </w:pPr>
      <w:r>
        <w:rPr>
          <w:rFonts w:hint="eastAsia" w:ascii="Times New Roman" w:hAnsi="Times New Roman" w:eastAsia="楷体_GB2312" w:cs="Times New Roman"/>
          <w:b/>
          <w:bCs/>
          <w:color w:val="auto"/>
          <w:sz w:val="32"/>
          <w:szCs w:val="32"/>
          <w:highlight w:val="none"/>
          <w:lang w:eastAsia="zh-CN"/>
        </w:rPr>
        <w:t>（</w:t>
      </w:r>
      <w:r>
        <w:rPr>
          <w:rFonts w:hint="eastAsia" w:ascii="Times New Roman" w:hAnsi="Times New Roman" w:eastAsia="楷体_GB2312" w:cs="Times New Roman"/>
          <w:b/>
          <w:bCs/>
          <w:color w:val="auto"/>
          <w:sz w:val="32"/>
          <w:szCs w:val="32"/>
          <w:highlight w:val="none"/>
          <w:lang w:val="en-US" w:eastAsia="zh-CN"/>
        </w:rPr>
        <w:t>一</w:t>
      </w:r>
      <w:r>
        <w:rPr>
          <w:rFonts w:hint="eastAsia" w:ascii="Times New Roman" w:hAnsi="Times New Roman" w:eastAsia="楷体_GB2312" w:cs="Times New Roman"/>
          <w:b/>
          <w:bCs/>
          <w:color w:val="auto"/>
          <w:sz w:val="32"/>
          <w:szCs w:val="32"/>
          <w:highlight w:val="none"/>
          <w:lang w:eastAsia="zh-CN"/>
        </w:rPr>
        <w:t>）</w:t>
      </w:r>
      <w:r>
        <w:rPr>
          <w:rFonts w:hint="eastAsia" w:ascii="Times New Roman" w:hAnsi="Times New Roman" w:eastAsia="楷体_GB2312" w:cs="Times New Roman"/>
          <w:b/>
          <w:bCs/>
          <w:color w:val="auto"/>
          <w:sz w:val="32"/>
          <w:szCs w:val="32"/>
          <w:highlight w:val="none"/>
        </w:rPr>
        <w:t>一般公共预算执行情况</w:t>
      </w:r>
    </w:p>
    <w:p w14:paraId="71BBDB2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cs="仿宋_GB2312"/>
          <w:color w:val="auto"/>
          <w:sz w:val="32"/>
          <w:szCs w:val="32"/>
          <w:highlight w:val="none"/>
          <w:lang w:val="en-US" w:eastAsia="zh-CN"/>
        </w:rPr>
        <w:t>2025</w:t>
      </w:r>
      <w:r>
        <w:rPr>
          <w:rFonts w:hint="eastAsia" w:ascii="仿宋_GB2312" w:hAnsi="仿宋_GB2312" w:eastAsia="仿宋_GB2312" w:cs="仿宋_GB2312"/>
          <w:color w:val="auto"/>
          <w:sz w:val="32"/>
          <w:szCs w:val="32"/>
          <w:highlight w:val="none"/>
          <w:lang w:val="en-US" w:eastAsia="zh-CN"/>
        </w:rPr>
        <w:t>年</w:t>
      </w:r>
      <w:r>
        <w:rPr>
          <w:rFonts w:hint="eastAsia" w:ascii="仿宋_GB2312" w:hAnsi="仿宋_GB2312" w:cs="仿宋_GB2312"/>
          <w:color w:val="auto"/>
          <w:sz w:val="32"/>
          <w:szCs w:val="32"/>
          <w:highlight w:val="none"/>
          <w:lang w:val="en-US" w:eastAsia="zh-CN"/>
        </w:rPr>
        <w:t>高新区</w:t>
      </w:r>
      <w:r>
        <w:rPr>
          <w:rFonts w:hint="eastAsia" w:ascii="仿宋_GB2312" w:hAnsi="仿宋_GB2312" w:eastAsia="仿宋_GB2312" w:cs="仿宋_GB2312"/>
          <w:color w:val="auto"/>
          <w:sz w:val="32"/>
          <w:szCs w:val="32"/>
          <w:highlight w:val="none"/>
        </w:rPr>
        <w:t>一般公共预算收入</w:t>
      </w:r>
      <w:r>
        <w:rPr>
          <w:rFonts w:hint="eastAsia" w:ascii="仿宋_GB2312" w:hAnsi="仿宋_GB2312" w:cs="仿宋_GB2312"/>
          <w:color w:val="auto"/>
          <w:sz w:val="32"/>
          <w:szCs w:val="32"/>
          <w:highlight w:val="none"/>
          <w:lang w:eastAsia="zh-CN"/>
        </w:rPr>
        <w:t>已</w:t>
      </w:r>
      <w:r>
        <w:rPr>
          <w:rFonts w:hint="eastAsia" w:ascii="仿宋_GB2312" w:hAnsi="仿宋_GB2312" w:eastAsia="仿宋_GB2312" w:cs="仿宋_GB2312"/>
          <w:color w:val="auto"/>
          <w:sz w:val="32"/>
          <w:szCs w:val="32"/>
          <w:highlight w:val="none"/>
          <w:lang w:val="en-US" w:eastAsia="zh-CN"/>
        </w:rPr>
        <w:t>完成</w:t>
      </w:r>
      <w:r>
        <w:rPr>
          <w:rFonts w:hint="eastAsia" w:ascii="仿宋_GB2312" w:hAnsi="仿宋_GB2312" w:cs="仿宋_GB2312"/>
          <w:color w:val="auto"/>
          <w:sz w:val="32"/>
          <w:szCs w:val="32"/>
          <w:highlight w:val="none"/>
          <w:lang w:val="en-US" w:eastAsia="zh-CN"/>
        </w:rPr>
        <w:t>3.18</w:t>
      </w:r>
      <w:r>
        <w:rPr>
          <w:rFonts w:hint="eastAsia" w:ascii="仿宋_GB2312" w:hAnsi="仿宋_GB2312" w:eastAsia="仿宋_GB2312" w:cs="仿宋_GB2312"/>
          <w:color w:val="auto"/>
          <w:sz w:val="32"/>
          <w:szCs w:val="32"/>
          <w:highlight w:val="none"/>
        </w:rPr>
        <w:t>亿元。收入主要项目执行情况是：税收收入</w:t>
      </w:r>
      <w:r>
        <w:rPr>
          <w:rFonts w:hint="eastAsia" w:ascii="仿宋_GB2312" w:hAnsi="仿宋_GB2312" w:cs="仿宋_GB2312"/>
          <w:color w:val="auto"/>
          <w:sz w:val="32"/>
          <w:szCs w:val="32"/>
          <w:highlight w:val="none"/>
          <w:lang w:eastAsia="zh-CN"/>
        </w:rPr>
        <w:t>完成</w:t>
      </w:r>
      <w:r>
        <w:rPr>
          <w:rFonts w:hint="eastAsia" w:ascii="仿宋_GB2312" w:hAnsi="仿宋_GB2312" w:cs="仿宋_GB2312"/>
          <w:color w:val="auto"/>
          <w:sz w:val="32"/>
          <w:szCs w:val="32"/>
          <w:highlight w:val="none"/>
          <w:lang w:val="en-US" w:eastAsia="zh-CN"/>
        </w:rPr>
        <w:t>2.88</w:t>
      </w:r>
      <w:r>
        <w:rPr>
          <w:rFonts w:hint="eastAsia" w:ascii="仿宋_GB2312" w:hAnsi="仿宋_GB2312" w:eastAsia="仿宋_GB2312" w:cs="仿宋_GB2312"/>
          <w:color w:val="auto"/>
          <w:sz w:val="32"/>
          <w:szCs w:val="32"/>
          <w:highlight w:val="none"/>
        </w:rPr>
        <w:t>亿元，非税收入</w:t>
      </w:r>
      <w:r>
        <w:rPr>
          <w:rFonts w:hint="eastAsia" w:ascii="仿宋_GB2312" w:hAnsi="仿宋_GB2312" w:cs="仿宋_GB2312"/>
          <w:color w:val="auto"/>
          <w:sz w:val="32"/>
          <w:szCs w:val="32"/>
          <w:highlight w:val="none"/>
          <w:lang w:eastAsia="zh-CN"/>
        </w:rPr>
        <w:t>完成</w:t>
      </w:r>
      <w:r>
        <w:rPr>
          <w:rFonts w:hint="eastAsia" w:ascii="仿宋_GB2312" w:hAnsi="仿宋_GB2312" w:cs="仿宋_GB2312"/>
          <w:color w:val="auto"/>
          <w:sz w:val="32"/>
          <w:szCs w:val="32"/>
          <w:highlight w:val="none"/>
          <w:lang w:val="en-US" w:eastAsia="zh-CN"/>
        </w:rPr>
        <w:t>0.3</w:t>
      </w:r>
      <w:r>
        <w:rPr>
          <w:rFonts w:hint="eastAsia" w:ascii="仿宋_GB2312" w:hAnsi="仿宋_GB2312" w:eastAsia="仿宋_GB2312" w:cs="仿宋_GB2312"/>
          <w:color w:val="auto"/>
          <w:sz w:val="32"/>
          <w:szCs w:val="32"/>
          <w:highlight w:val="none"/>
        </w:rPr>
        <w:t>亿元。</w:t>
      </w:r>
    </w:p>
    <w:p w14:paraId="27CE037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cs="仿宋_GB2312"/>
          <w:color w:val="auto"/>
          <w:sz w:val="32"/>
          <w:szCs w:val="32"/>
          <w:highlight w:val="none"/>
          <w:lang w:val="en-US" w:eastAsia="zh-CN"/>
        </w:rPr>
        <w:t>2025年高新区</w:t>
      </w:r>
      <w:r>
        <w:rPr>
          <w:rFonts w:hint="eastAsia" w:ascii="仿宋_GB2312" w:hAnsi="仿宋_GB2312" w:eastAsia="仿宋_GB2312" w:cs="仿宋_GB2312"/>
          <w:color w:val="auto"/>
          <w:sz w:val="32"/>
          <w:szCs w:val="32"/>
          <w:highlight w:val="none"/>
        </w:rPr>
        <w:t>一般公共预算支出</w:t>
      </w:r>
      <w:r>
        <w:rPr>
          <w:rFonts w:hint="eastAsia" w:ascii="仿宋_GB2312" w:hAnsi="仿宋_GB2312" w:cs="仿宋_GB2312"/>
          <w:color w:val="auto"/>
          <w:sz w:val="32"/>
          <w:szCs w:val="32"/>
          <w:highlight w:val="none"/>
          <w:lang w:val="en-US" w:eastAsia="zh-CN"/>
        </w:rPr>
        <w:t>5.87</w:t>
      </w:r>
      <w:r>
        <w:rPr>
          <w:rFonts w:hint="eastAsia" w:ascii="仿宋_GB2312" w:hAnsi="仿宋_GB2312" w:eastAsia="仿宋_GB2312" w:cs="仿宋_GB2312"/>
          <w:color w:val="auto"/>
          <w:sz w:val="32"/>
          <w:szCs w:val="32"/>
          <w:highlight w:val="none"/>
        </w:rPr>
        <w:t>亿元，主要项目执行情况是：一般公共服务支出</w:t>
      </w:r>
      <w:r>
        <w:rPr>
          <w:rFonts w:hint="eastAsia" w:ascii="仿宋_GB2312" w:hAnsi="仿宋_GB2312" w:cs="仿宋_GB2312"/>
          <w:color w:val="auto"/>
          <w:sz w:val="32"/>
          <w:szCs w:val="32"/>
          <w:highlight w:val="none"/>
          <w:lang w:val="en-US" w:eastAsia="zh-CN"/>
        </w:rPr>
        <w:t>0.7亿元</w:t>
      </w:r>
      <w:r>
        <w:rPr>
          <w:rFonts w:hint="eastAsia" w:ascii="仿宋_GB2312" w:hAnsi="仿宋_GB2312" w:eastAsia="仿宋_GB2312" w:cs="仿宋_GB2312"/>
          <w:color w:val="auto"/>
          <w:sz w:val="32"/>
          <w:szCs w:val="32"/>
          <w:highlight w:val="none"/>
        </w:rPr>
        <w:t>、公共安全支出</w:t>
      </w:r>
      <w:r>
        <w:rPr>
          <w:rFonts w:hint="eastAsia" w:ascii="仿宋_GB2312" w:hAnsi="仿宋_GB2312" w:cs="仿宋_GB2312"/>
          <w:color w:val="auto"/>
          <w:sz w:val="32"/>
          <w:szCs w:val="32"/>
          <w:highlight w:val="none"/>
          <w:lang w:val="en-US" w:eastAsia="zh-CN"/>
        </w:rPr>
        <w:t>0.02亿</w:t>
      </w:r>
      <w:r>
        <w:rPr>
          <w:rFonts w:hint="eastAsia" w:ascii="仿宋_GB2312" w:hAnsi="仿宋_GB2312" w:eastAsia="仿宋_GB2312" w:cs="仿宋_GB2312"/>
          <w:color w:val="auto"/>
          <w:sz w:val="32"/>
          <w:szCs w:val="32"/>
          <w:highlight w:val="none"/>
        </w:rPr>
        <w:t>元、教育支出</w:t>
      </w:r>
      <w:r>
        <w:rPr>
          <w:rFonts w:hint="eastAsia" w:ascii="仿宋_GB2312" w:hAnsi="仿宋_GB2312" w:cs="仿宋_GB2312"/>
          <w:color w:val="auto"/>
          <w:sz w:val="32"/>
          <w:szCs w:val="32"/>
          <w:highlight w:val="none"/>
          <w:lang w:val="en-US" w:eastAsia="zh-CN"/>
        </w:rPr>
        <w:t>0.002亿</w:t>
      </w:r>
      <w:r>
        <w:rPr>
          <w:rFonts w:hint="eastAsia" w:ascii="仿宋_GB2312" w:hAnsi="仿宋_GB2312" w:eastAsia="仿宋_GB2312" w:cs="仿宋_GB2312"/>
          <w:color w:val="auto"/>
          <w:sz w:val="32"/>
          <w:szCs w:val="32"/>
          <w:highlight w:val="none"/>
        </w:rPr>
        <w:t>元、科学技术支出</w:t>
      </w:r>
      <w:r>
        <w:rPr>
          <w:rFonts w:hint="eastAsia" w:ascii="仿宋_GB2312" w:hAnsi="仿宋_GB2312" w:cs="仿宋_GB2312"/>
          <w:color w:val="auto"/>
          <w:sz w:val="32"/>
          <w:szCs w:val="32"/>
          <w:highlight w:val="none"/>
          <w:lang w:val="en-US" w:eastAsia="zh-CN"/>
        </w:rPr>
        <w:t>1.12亿</w:t>
      </w:r>
      <w:r>
        <w:rPr>
          <w:rFonts w:hint="eastAsia" w:ascii="仿宋_GB2312" w:hAnsi="仿宋_GB2312" w:eastAsia="仿宋_GB2312" w:cs="仿宋_GB2312"/>
          <w:color w:val="auto"/>
          <w:sz w:val="32"/>
          <w:szCs w:val="32"/>
          <w:highlight w:val="none"/>
        </w:rPr>
        <w:t>元、文化旅游体育与传媒支出</w:t>
      </w:r>
      <w:r>
        <w:rPr>
          <w:rFonts w:hint="eastAsia" w:ascii="仿宋_GB2312" w:hAnsi="仿宋_GB2312" w:cs="仿宋_GB2312"/>
          <w:color w:val="auto"/>
          <w:sz w:val="32"/>
          <w:szCs w:val="32"/>
          <w:highlight w:val="none"/>
          <w:lang w:val="en-US" w:eastAsia="zh-CN"/>
        </w:rPr>
        <w:t>0.002亿</w:t>
      </w:r>
      <w:r>
        <w:rPr>
          <w:rFonts w:hint="eastAsia" w:ascii="仿宋_GB2312" w:hAnsi="仿宋_GB2312" w:eastAsia="仿宋_GB2312" w:cs="仿宋_GB2312"/>
          <w:color w:val="auto"/>
          <w:sz w:val="32"/>
          <w:szCs w:val="32"/>
          <w:highlight w:val="none"/>
        </w:rPr>
        <w:t>元、社会保障和就业支出</w:t>
      </w:r>
      <w:r>
        <w:rPr>
          <w:rFonts w:hint="eastAsia" w:ascii="仿宋_GB2312" w:hAnsi="仿宋_GB2312" w:cs="仿宋_GB2312"/>
          <w:color w:val="auto"/>
          <w:sz w:val="32"/>
          <w:szCs w:val="32"/>
          <w:highlight w:val="none"/>
          <w:lang w:val="en-US" w:eastAsia="zh-CN"/>
        </w:rPr>
        <w:t>0.47亿</w:t>
      </w:r>
      <w:r>
        <w:rPr>
          <w:rFonts w:hint="eastAsia" w:ascii="仿宋_GB2312" w:hAnsi="仿宋_GB2312" w:eastAsia="仿宋_GB2312" w:cs="仿宋_GB2312"/>
          <w:color w:val="auto"/>
          <w:sz w:val="32"/>
          <w:szCs w:val="32"/>
          <w:highlight w:val="none"/>
        </w:rPr>
        <w:t>元、卫生健康支出</w:t>
      </w:r>
      <w:r>
        <w:rPr>
          <w:rFonts w:hint="eastAsia" w:ascii="仿宋_GB2312" w:hAnsi="仿宋_GB2312" w:cs="仿宋_GB2312"/>
          <w:color w:val="auto"/>
          <w:sz w:val="32"/>
          <w:szCs w:val="32"/>
          <w:highlight w:val="none"/>
          <w:lang w:val="en-US" w:eastAsia="zh-CN"/>
        </w:rPr>
        <w:t>0.02亿</w:t>
      </w:r>
      <w:r>
        <w:rPr>
          <w:rFonts w:hint="eastAsia" w:ascii="仿宋_GB2312" w:hAnsi="仿宋_GB2312" w:eastAsia="仿宋_GB2312" w:cs="仿宋_GB2312"/>
          <w:color w:val="auto"/>
          <w:sz w:val="32"/>
          <w:szCs w:val="32"/>
          <w:highlight w:val="none"/>
        </w:rPr>
        <w:t>元、节能环保支出</w:t>
      </w:r>
      <w:r>
        <w:rPr>
          <w:rFonts w:hint="eastAsia" w:ascii="仿宋_GB2312" w:hAnsi="仿宋_GB2312" w:cs="仿宋_GB2312"/>
          <w:color w:val="auto"/>
          <w:sz w:val="32"/>
          <w:szCs w:val="32"/>
          <w:highlight w:val="none"/>
          <w:lang w:val="en-US" w:eastAsia="zh-CN"/>
        </w:rPr>
        <w:t>0.26亿</w:t>
      </w:r>
      <w:r>
        <w:rPr>
          <w:rFonts w:hint="eastAsia" w:ascii="仿宋_GB2312" w:hAnsi="仿宋_GB2312" w:eastAsia="仿宋_GB2312" w:cs="仿宋_GB2312"/>
          <w:color w:val="auto"/>
          <w:sz w:val="32"/>
          <w:szCs w:val="32"/>
          <w:highlight w:val="none"/>
        </w:rPr>
        <w:t>元、城乡社区支出</w:t>
      </w:r>
      <w:r>
        <w:rPr>
          <w:rFonts w:hint="eastAsia" w:ascii="仿宋_GB2312" w:hAnsi="仿宋_GB2312" w:cs="仿宋_GB2312"/>
          <w:color w:val="auto"/>
          <w:sz w:val="32"/>
          <w:szCs w:val="32"/>
          <w:highlight w:val="none"/>
          <w:lang w:val="en-US" w:eastAsia="zh-CN"/>
        </w:rPr>
        <w:t>2.12亿</w:t>
      </w:r>
      <w:r>
        <w:rPr>
          <w:rFonts w:hint="eastAsia" w:ascii="仿宋_GB2312" w:hAnsi="仿宋_GB2312" w:eastAsia="仿宋_GB2312" w:cs="仿宋_GB2312"/>
          <w:color w:val="auto"/>
          <w:sz w:val="32"/>
          <w:szCs w:val="32"/>
          <w:highlight w:val="none"/>
        </w:rPr>
        <w:t>元、农林水支出</w:t>
      </w:r>
      <w:r>
        <w:rPr>
          <w:rFonts w:hint="eastAsia" w:ascii="仿宋_GB2312" w:hAnsi="仿宋_GB2312" w:cs="仿宋_GB2312"/>
          <w:color w:val="auto"/>
          <w:sz w:val="32"/>
          <w:szCs w:val="32"/>
          <w:highlight w:val="none"/>
          <w:lang w:val="en-US" w:eastAsia="zh-CN"/>
        </w:rPr>
        <w:t>0.07亿</w:t>
      </w:r>
      <w:r>
        <w:rPr>
          <w:rFonts w:hint="eastAsia" w:ascii="仿宋_GB2312" w:hAnsi="仿宋_GB2312" w:eastAsia="仿宋_GB2312" w:cs="仿宋_GB2312"/>
          <w:color w:val="auto"/>
          <w:sz w:val="32"/>
          <w:szCs w:val="32"/>
          <w:highlight w:val="none"/>
        </w:rPr>
        <w:t>元、资源勘探信息等支出</w:t>
      </w:r>
      <w:r>
        <w:rPr>
          <w:rFonts w:hint="eastAsia" w:ascii="仿宋_GB2312" w:hAnsi="仿宋_GB2312" w:cs="仿宋_GB2312"/>
          <w:color w:val="auto"/>
          <w:sz w:val="32"/>
          <w:szCs w:val="32"/>
          <w:highlight w:val="none"/>
          <w:lang w:val="en-US" w:eastAsia="zh-CN"/>
        </w:rPr>
        <w:t>0.71亿</w:t>
      </w:r>
      <w:r>
        <w:rPr>
          <w:rFonts w:hint="eastAsia" w:ascii="仿宋_GB2312" w:hAnsi="仿宋_GB2312" w:eastAsia="仿宋_GB2312" w:cs="仿宋_GB2312"/>
          <w:color w:val="auto"/>
          <w:sz w:val="32"/>
          <w:szCs w:val="32"/>
          <w:highlight w:val="none"/>
        </w:rPr>
        <w:t>元、商业服务业等支出</w:t>
      </w:r>
      <w:r>
        <w:rPr>
          <w:rFonts w:hint="eastAsia" w:ascii="仿宋_GB2312" w:hAnsi="仿宋_GB2312" w:cs="仿宋_GB2312"/>
          <w:color w:val="auto"/>
          <w:sz w:val="32"/>
          <w:szCs w:val="32"/>
          <w:highlight w:val="none"/>
          <w:lang w:val="en-US" w:eastAsia="zh-CN"/>
        </w:rPr>
        <w:t>0.04亿</w:t>
      </w:r>
      <w:r>
        <w:rPr>
          <w:rFonts w:hint="eastAsia" w:ascii="仿宋_GB2312" w:hAnsi="仿宋_GB2312" w:eastAsia="仿宋_GB2312" w:cs="仿宋_GB2312"/>
          <w:color w:val="auto"/>
          <w:sz w:val="32"/>
          <w:szCs w:val="32"/>
          <w:highlight w:val="none"/>
        </w:rPr>
        <w:t>元、自然资源海洋气象等支出</w:t>
      </w:r>
      <w:r>
        <w:rPr>
          <w:rFonts w:hint="eastAsia" w:ascii="仿宋_GB2312" w:hAnsi="仿宋_GB2312" w:cs="仿宋_GB2312"/>
          <w:color w:val="auto"/>
          <w:sz w:val="32"/>
          <w:szCs w:val="32"/>
          <w:highlight w:val="none"/>
          <w:lang w:val="en-US" w:eastAsia="zh-CN"/>
        </w:rPr>
        <w:t>0.000</w:t>
      </w:r>
      <w:r>
        <w:rPr>
          <w:rFonts w:hint="eastAsia" w:ascii="仿宋_GB2312" w:hAnsi="仿宋_GB2312" w:eastAsia="仿宋_GB2312" w:cs="仿宋_GB2312"/>
          <w:color w:val="auto"/>
          <w:sz w:val="32"/>
          <w:szCs w:val="32"/>
          <w:highlight w:val="none"/>
        </w:rPr>
        <w:t>8</w:t>
      </w:r>
      <w:r>
        <w:rPr>
          <w:rFonts w:hint="eastAsia" w:ascii="仿宋_GB2312" w:hAnsi="仿宋_GB2312" w:cs="仿宋_GB2312"/>
          <w:color w:val="auto"/>
          <w:sz w:val="32"/>
          <w:szCs w:val="32"/>
          <w:highlight w:val="none"/>
          <w:lang w:val="en-US" w:eastAsia="zh-CN"/>
        </w:rPr>
        <w:t>亿</w:t>
      </w:r>
      <w:r>
        <w:rPr>
          <w:rFonts w:hint="eastAsia" w:ascii="仿宋_GB2312" w:hAnsi="仿宋_GB2312" w:eastAsia="仿宋_GB2312" w:cs="仿宋_GB2312"/>
          <w:color w:val="auto"/>
          <w:sz w:val="32"/>
          <w:szCs w:val="32"/>
          <w:highlight w:val="none"/>
        </w:rPr>
        <w:t>元、住房保障支出</w:t>
      </w:r>
      <w:r>
        <w:rPr>
          <w:rFonts w:hint="eastAsia" w:ascii="仿宋_GB2312" w:hAnsi="仿宋_GB2312" w:cs="仿宋_GB2312"/>
          <w:color w:val="auto"/>
          <w:sz w:val="32"/>
          <w:szCs w:val="32"/>
          <w:highlight w:val="none"/>
          <w:lang w:val="en-US" w:eastAsia="zh-CN"/>
        </w:rPr>
        <w:t>0.04亿</w:t>
      </w:r>
      <w:r>
        <w:rPr>
          <w:rFonts w:hint="eastAsia" w:ascii="仿宋_GB2312" w:hAnsi="仿宋_GB2312" w:eastAsia="仿宋_GB2312" w:cs="仿宋_GB2312"/>
          <w:color w:val="auto"/>
          <w:sz w:val="32"/>
          <w:szCs w:val="32"/>
          <w:highlight w:val="none"/>
        </w:rPr>
        <w:t>元、灾害防治及应急管理支出</w:t>
      </w:r>
      <w:r>
        <w:rPr>
          <w:rFonts w:hint="eastAsia" w:ascii="仿宋_GB2312" w:hAnsi="仿宋_GB2312" w:cs="仿宋_GB2312"/>
          <w:color w:val="auto"/>
          <w:sz w:val="32"/>
          <w:szCs w:val="32"/>
          <w:highlight w:val="none"/>
          <w:lang w:val="en-US" w:eastAsia="zh-CN"/>
        </w:rPr>
        <w:t>0.08亿</w:t>
      </w:r>
      <w:r>
        <w:rPr>
          <w:rFonts w:hint="eastAsia" w:ascii="仿宋_GB2312" w:hAnsi="仿宋_GB2312" w:eastAsia="仿宋_GB2312" w:cs="仿宋_GB2312"/>
          <w:color w:val="auto"/>
          <w:sz w:val="32"/>
          <w:szCs w:val="32"/>
          <w:highlight w:val="none"/>
        </w:rPr>
        <w:t>元、</w:t>
      </w:r>
      <w:r>
        <w:rPr>
          <w:rFonts w:hint="eastAsia" w:ascii="仿宋_GB2312" w:hAnsi="仿宋_GB2312" w:cs="仿宋_GB2312"/>
          <w:color w:val="auto"/>
          <w:sz w:val="32"/>
          <w:szCs w:val="32"/>
          <w:highlight w:val="none"/>
          <w:lang w:eastAsia="zh-CN"/>
        </w:rPr>
        <w:t>其他支出</w:t>
      </w:r>
      <w:r>
        <w:rPr>
          <w:rFonts w:hint="eastAsia" w:ascii="仿宋_GB2312" w:hAnsi="仿宋_GB2312" w:cs="仿宋_GB2312"/>
          <w:color w:val="auto"/>
          <w:sz w:val="32"/>
          <w:szCs w:val="32"/>
          <w:highlight w:val="none"/>
          <w:lang w:val="en-US" w:eastAsia="zh-CN"/>
        </w:rPr>
        <w:t>0.01亿元、</w:t>
      </w:r>
      <w:r>
        <w:rPr>
          <w:rFonts w:hint="eastAsia" w:ascii="仿宋_GB2312" w:hAnsi="仿宋_GB2312" w:eastAsia="仿宋_GB2312" w:cs="仿宋_GB2312"/>
          <w:color w:val="auto"/>
          <w:sz w:val="32"/>
          <w:szCs w:val="32"/>
          <w:highlight w:val="none"/>
        </w:rPr>
        <w:t>债务付息支出</w:t>
      </w:r>
      <w:r>
        <w:rPr>
          <w:rFonts w:hint="eastAsia" w:ascii="仿宋_GB2312" w:hAnsi="仿宋_GB2312" w:cs="仿宋_GB2312"/>
          <w:color w:val="auto"/>
          <w:sz w:val="32"/>
          <w:szCs w:val="32"/>
          <w:highlight w:val="none"/>
          <w:lang w:val="en-US" w:eastAsia="zh-CN"/>
        </w:rPr>
        <w:t>0.2亿</w:t>
      </w:r>
      <w:r>
        <w:rPr>
          <w:rFonts w:hint="eastAsia" w:ascii="仿宋_GB2312" w:hAnsi="仿宋_GB2312" w:eastAsia="仿宋_GB2312" w:cs="仿宋_GB2312"/>
          <w:color w:val="auto"/>
          <w:sz w:val="32"/>
          <w:szCs w:val="32"/>
          <w:highlight w:val="none"/>
        </w:rPr>
        <w:t>元</w:t>
      </w:r>
      <w:r>
        <w:rPr>
          <w:rFonts w:hint="eastAsia" w:ascii="仿宋_GB2312" w:hAnsi="仿宋_GB2312" w:cs="仿宋_GB2312"/>
          <w:color w:val="auto"/>
          <w:sz w:val="32"/>
          <w:szCs w:val="32"/>
          <w:highlight w:val="none"/>
          <w:lang w:eastAsia="zh-CN"/>
        </w:rPr>
        <w:t>、债务发行费用支出</w:t>
      </w:r>
      <w:r>
        <w:rPr>
          <w:rFonts w:hint="eastAsia" w:ascii="仿宋_GB2312" w:hAnsi="仿宋_GB2312" w:cs="仿宋_GB2312"/>
          <w:color w:val="auto"/>
          <w:sz w:val="32"/>
          <w:szCs w:val="32"/>
          <w:highlight w:val="none"/>
          <w:lang w:val="en-US" w:eastAsia="zh-CN"/>
        </w:rPr>
        <w:t>0.0009亿元</w:t>
      </w:r>
      <w:r>
        <w:rPr>
          <w:rFonts w:hint="eastAsia" w:ascii="仿宋_GB2312" w:hAnsi="仿宋_GB2312" w:eastAsia="仿宋_GB2312" w:cs="仿宋_GB2312"/>
          <w:color w:val="auto"/>
          <w:sz w:val="32"/>
          <w:szCs w:val="32"/>
          <w:highlight w:val="none"/>
        </w:rPr>
        <w:t>。</w:t>
      </w:r>
    </w:p>
    <w:p w14:paraId="76C59EF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楷体_GB2312" w:cs="Times New Roman"/>
          <w:b/>
          <w:bCs/>
          <w:color w:val="auto"/>
          <w:sz w:val="32"/>
          <w:szCs w:val="32"/>
          <w:highlight w:val="none"/>
          <w:lang w:eastAsia="zh-CN"/>
        </w:rPr>
      </w:pPr>
      <w:r>
        <w:rPr>
          <w:rFonts w:hint="eastAsia" w:ascii="Times New Roman" w:hAnsi="Times New Roman" w:eastAsia="楷体_GB2312" w:cs="Times New Roman"/>
          <w:b/>
          <w:bCs/>
          <w:color w:val="auto"/>
          <w:sz w:val="32"/>
          <w:szCs w:val="32"/>
          <w:highlight w:val="none"/>
          <w:lang w:eastAsia="zh-CN"/>
        </w:rPr>
        <w:t>（</w:t>
      </w:r>
      <w:r>
        <w:rPr>
          <w:rFonts w:hint="eastAsia" w:ascii="Times New Roman" w:hAnsi="Times New Roman" w:eastAsia="楷体_GB2312" w:cs="Times New Roman"/>
          <w:b/>
          <w:bCs/>
          <w:color w:val="auto"/>
          <w:sz w:val="32"/>
          <w:szCs w:val="32"/>
          <w:highlight w:val="none"/>
          <w:lang w:val="en-US" w:eastAsia="zh-CN"/>
        </w:rPr>
        <w:t>二</w:t>
      </w:r>
      <w:r>
        <w:rPr>
          <w:rFonts w:hint="eastAsia" w:ascii="Times New Roman" w:hAnsi="Times New Roman" w:eastAsia="楷体_GB2312" w:cs="Times New Roman"/>
          <w:b/>
          <w:bCs/>
          <w:color w:val="auto"/>
          <w:sz w:val="32"/>
          <w:szCs w:val="32"/>
          <w:highlight w:val="none"/>
          <w:lang w:eastAsia="zh-CN"/>
        </w:rPr>
        <w:t>）政府性基金预算执行情况</w:t>
      </w:r>
    </w:p>
    <w:p w14:paraId="0AB3283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cs="仿宋_GB2312"/>
          <w:color w:val="auto"/>
          <w:sz w:val="32"/>
          <w:szCs w:val="32"/>
          <w:highlight w:val="none"/>
          <w:lang w:val="en-US" w:eastAsia="zh-CN"/>
        </w:rPr>
        <w:t>2025</w:t>
      </w:r>
      <w:r>
        <w:rPr>
          <w:rFonts w:hint="eastAsia" w:ascii="仿宋_GB2312" w:hAnsi="仿宋_GB2312" w:eastAsia="仿宋_GB2312" w:cs="仿宋_GB2312"/>
          <w:color w:val="auto"/>
          <w:sz w:val="32"/>
          <w:szCs w:val="32"/>
          <w:highlight w:val="none"/>
        </w:rPr>
        <w:t>年</w:t>
      </w:r>
      <w:r>
        <w:rPr>
          <w:rFonts w:hint="eastAsia" w:ascii="仿宋_GB2312" w:hAnsi="仿宋_GB2312" w:cs="仿宋_GB2312"/>
          <w:color w:val="auto"/>
          <w:sz w:val="32"/>
          <w:szCs w:val="32"/>
          <w:highlight w:val="none"/>
          <w:lang w:val="en-US" w:eastAsia="zh-CN"/>
        </w:rPr>
        <w:t>高新区</w:t>
      </w:r>
      <w:r>
        <w:rPr>
          <w:rFonts w:hint="eastAsia" w:ascii="仿宋_GB2312" w:hAnsi="仿宋_GB2312" w:eastAsia="仿宋_GB2312" w:cs="仿宋_GB2312"/>
          <w:color w:val="auto"/>
          <w:sz w:val="32"/>
          <w:szCs w:val="32"/>
          <w:highlight w:val="none"/>
        </w:rPr>
        <w:t>政府性基金预算收入</w:t>
      </w:r>
      <w:r>
        <w:rPr>
          <w:rFonts w:hint="eastAsia" w:ascii="仿宋_GB2312" w:hAnsi="仿宋_GB2312" w:cs="仿宋_GB2312"/>
          <w:color w:val="auto"/>
          <w:sz w:val="32"/>
          <w:szCs w:val="32"/>
          <w:highlight w:val="none"/>
          <w:lang w:val="en-US" w:eastAsia="zh-CN"/>
        </w:rPr>
        <w:t>完成20.31</w:t>
      </w:r>
      <w:r>
        <w:rPr>
          <w:rFonts w:hint="eastAsia" w:ascii="仿宋_GB2312" w:hAnsi="仿宋_GB2312" w:eastAsia="仿宋_GB2312" w:cs="仿宋_GB2312"/>
          <w:color w:val="auto"/>
          <w:sz w:val="32"/>
          <w:szCs w:val="32"/>
          <w:highlight w:val="none"/>
        </w:rPr>
        <w:t>亿元，主要项目执行情况是：国有土地使用权出让收入</w:t>
      </w:r>
      <w:r>
        <w:rPr>
          <w:rFonts w:hint="eastAsia" w:ascii="仿宋_GB2312" w:hAnsi="仿宋_GB2312" w:cs="仿宋_GB2312"/>
          <w:color w:val="auto"/>
          <w:sz w:val="32"/>
          <w:szCs w:val="32"/>
          <w:highlight w:val="none"/>
          <w:lang w:val="en-US" w:eastAsia="zh-CN"/>
        </w:rPr>
        <w:t>19.34</w:t>
      </w:r>
      <w:r>
        <w:rPr>
          <w:rFonts w:hint="eastAsia" w:ascii="仿宋_GB2312" w:hAnsi="仿宋_GB2312" w:eastAsia="仿宋_GB2312" w:cs="仿宋_GB2312"/>
          <w:color w:val="auto"/>
          <w:sz w:val="32"/>
          <w:szCs w:val="32"/>
          <w:highlight w:val="none"/>
        </w:rPr>
        <w:t>亿元、城市基础设施配套费收入</w:t>
      </w:r>
      <w:r>
        <w:rPr>
          <w:rFonts w:hint="eastAsia" w:ascii="仿宋_GB2312" w:hAnsi="仿宋_GB2312" w:cs="仿宋_GB2312"/>
          <w:color w:val="auto"/>
          <w:sz w:val="32"/>
          <w:szCs w:val="32"/>
          <w:highlight w:val="none"/>
          <w:lang w:val="en-US" w:eastAsia="zh-CN"/>
        </w:rPr>
        <w:t>0.23亿</w:t>
      </w:r>
      <w:r>
        <w:rPr>
          <w:rFonts w:hint="eastAsia" w:ascii="仿宋_GB2312" w:hAnsi="仿宋_GB2312" w:eastAsia="仿宋_GB2312" w:cs="仿宋_GB2312"/>
          <w:color w:val="auto"/>
          <w:sz w:val="32"/>
          <w:szCs w:val="32"/>
          <w:highlight w:val="none"/>
        </w:rPr>
        <w:t>元、专项债券对应项目专项收入</w:t>
      </w:r>
      <w:r>
        <w:rPr>
          <w:rFonts w:hint="eastAsia" w:ascii="仿宋_GB2312" w:hAnsi="仿宋_GB2312" w:cs="仿宋_GB2312"/>
          <w:color w:val="auto"/>
          <w:sz w:val="32"/>
          <w:szCs w:val="32"/>
          <w:highlight w:val="none"/>
          <w:lang w:val="en-US" w:eastAsia="zh-CN"/>
        </w:rPr>
        <w:t>0.74</w:t>
      </w:r>
      <w:r>
        <w:rPr>
          <w:rFonts w:hint="eastAsia" w:ascii="仿宋_GB2312" w:hAnsi="仿宋_GB2312" w:eastAsia="仿宋_GB2312" w:cs="仿宋_GB2312"/>
          <w:color w:val="auto"/>
          <w:sz w:val="32"/>
          <w:szCs w:val="32"/>
          <w:highlight w:val="none"/>
        </w:rPr>
        <w:t>亿元。</w:t>
      </w:r>
    </w:p>
    <w:p w14:paraId="003DFED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cs="仿宋_GB2312"/>
          <w:color w:val="auto"/>
          <w:sz w:val="32"/>
          <w:szCs w:val="32"/>
          <w:highlight w:val="none"/>
          <w:lang w:val="en-US" w:eastAsia="zh-CN"/>
        </w:rPr>
        <w:t>2025年高新区</w:t>
      </w:r>
      <w:r>
        <w:rPr>
          <w:rFonts w:hint="eastAsia" w:ascii="仿宋_GB2312" w:hAnsi="仿宋_GB2312" w:eastAsia="仿宋_GB2312" w:cs="仿宋_GB2312"/>
          <w:color w:val="auto"/>
          <w:sz w:val="32"/>
          <w:szCs w:val="32"/>
          <w:highlight w:val="none"/>
        </w:rPr>
        <w:t>政府性基金预算支出</w:t>
      </w:r>
      <w:r>
        <w:rPr>
          <w:rFonts w:hint="eastAsia" w:ascii="仿宋_GB2312" w:hAnsi="仿宋_GB2312" w:cs="仿宋_GB2312"/>
          <w:color w:val="auto"/>
          <w:sz w:val="32"/>
          <w:szCs w:val="32"/>
          <w:highlight w:val="none"/>
          <w:lang w:val="en-US" w:eastAsia="zh-CN"/>
        </w:rPr>
        <w:t>19.77</w:t>
      </w:r>
      <w:r>
        <w:rPr>
          <w:rFonts w:hint="eastAsia" w:ascii="仿宋_GB2312" w:hAnsi="仿宋_GB2312" w:eastAsia="仿宋_GB2312" w:cs="仿宋_GB2312"/>
          <w:color w:val="auto"/>
          <w:sz w:val="32"/>
          <w:szCs w:val="32"/>
          <w:highlight w:val="none"/>
        </w:rPr>
        <w:t>亿元，主要项目执行情况是：城乡社区支出</w:t>
      </w:r>
      <w:r>
        <w:rPr>
          <w:rFonts w:hint="eastAsia" w:ascii="仿宋_GB2312" w:hAnsi="仿宋_GB2312" w:cs="仿宋_GB2312"/>
          <w:color w:val="auto"/>
          <w:sz w:val="32"/>
          <w:szCs w:val="32"/>
          <w:highlight w:val="none"/>
          <w:lang w:val="en-US" w:eastAsia="zh-CN"/>
        </w:rPr>
        <w:t>17.54</w:t>
      </w:r>
      <w:r>
        <w:rPr>
          <w:rFonts w:hint="eastAsia" w:ascii="仿宋_GB2312" w:hAnsi="仿宋_GB2312" w:eastAsia="仿宋_GB2312" w:cs="仿宋_GB2312"/>
          <w:color w:val="auto"/>
          <w:sz w:val="32"/>
          <w:szCs w:val="32"/>
          <w:highlight w:val="none"/>
        </w:rPr>
        <w:t>亿元</w:t>
      </w:r>
      <w:r>
        <w:rPr>
          <w:rFonts w:hint="eastAsia" w:ascii="仿宋_GB2312" w:hAnsi="仿宋_GB2312" w:cs="仿宋_GB2312"/>
          <w:color w:val="auto"/>
          <w:sz w:val="32"/>
          <w:szCs w:val="32"/>
          <w:highlight w:val="none"/>
          <w:lang w:val="en-US" w:eastAsia="zh-CN"/>
        </w:rPr>
        <w:t>、交通运输支出0.002亿元、资源勘探信息等支出0.48亿元、专项债务收入安排的支出1.02亿元</w:t>
      </w:r>
      <w:r>
        <w:rPr>
          <w:rFonts w:hint="eastAsia" w:ascii="仿宋_GB2312" w:hAnsi="仿宋_GB2312" w:eastAsia="仿宋_GB2312" w:cs="仿宋_GB2312"/>
          <w:color w:val="auto"/>
          <w:sz w:val="32"/>
          <w:szCs w:val="32"/>
          <w:highlight w:val="none"/>
        </w:rPr>
        <w:t>、债务付息支出</w:t>
      </w:r>
      <w:r>
        <w:rPr>
          <w:rFonts w:hint="eastAsia" w:ascii="仿宋_GB2312" w:hAnsi="仿宋_GB2312" w:cs="仿宋_GB2312"/>
          <w:color w:val="auto"/>
          <w:sz w:val="32"/>
          <w:szCs w:val="32"/>
          <w:highlight w:val="none"/>
          <w:lang w:val="en-US" w:eastAsia="zh-CN"/>
        </w:rPr>
        <w:t>0.72</w:t>
      </w:r>
      <w:r>
        <w:rPr>
          <w:rFonts w:hint="eastAsia" w:ascii="仿宋_GB2312" w:hAnsi="仿宋_GB2312" w:eastAsia="仿宋_GB2312" w:cs="仿宋_GB2312"/>
          <w:color w:val="auto"/>
          <w:sz w:val="32"/>
          <w:szCs w:val="32"/>
          <w:highlight w:val="none"/>
        </w:rPr>
        <w:t>亿元</w:t>
      </w:r>
      <w:r>
        <w:rPr>
          <w:rFonts w:hint="eastAsia" w:ascii="仿宋_GB2312" w:hAnsi="仿宋_GB2312" w:cs="仿宋_GB2312"/>
          <w:color w:val="auto"/>
          <w:sz w:val="32"/>
          <w:szCs w:val="32"/>
          <w:highlight w:val="none"/>
          <w:lang w:eastAsia="zh-CN"/>
        </w:rPr>
        <w:t>、债务发行费用支出</w:t>
      </w:r>
      <w:r>
        <w:rPr>
          <w:rFonts w:hint="eastAsia" w:ascii="仿宋_GB2312" w:hAnsi="仿宋_GB2312" w:cs="仿宋_GB2312"/>
          <w:color w:val="auto"/>
          <w:sz w:val="32"/>
          <w:szCs w:val="32"/>
          <w:highlight w:val="none"/>
          <w:lang w:val="en-US" w:eastAsia="zh-CN"/>
        </w:rPr>
        <w:t>0.0015亿元</w:t>
      </w:r>
      <w:r>
        <w:rPr>
          <w:rFonts w:hint="eastAsia" w:ascii="仿宋_GB2312" w:hAnsi="仿宋_GB2312" w:eastAsia="仿宋_GB2312" w:cs="仿宋_GB2312"/>
          <w:color w:val="auto"/>
          <w:sz w:val="32"/>
          <w:szCs w:val="32"/>
          <w:highlight w:val="none"/>
        </w:rPr>
        <w:t>。</w:t>
      </w:r>
    </w:p>
    <w:p w14:paraId="08B22B9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楷体_GB2312" w:cs="Times New Roman"/>
          <w:b/>
          <w:bCs/>
          <w:color w:val="auto"/>
          <w:sz w:val="32"/>
          <w:szCs w:val="32"/>
          <w:highlight w:val="none"/>
          <w:lang w:eastAsia="zh-CN"/>
        </w:rPr>
      </w:pPr>
      <w:r>
        <w:rPr>
          <w:rFonts w:hint="eastAsia" w:ascii="Times New Roman" w:hAnsi="Times New Roman" w:eastAsia="楷体_GB2312" w:cs="Times New Roman"/>
          <w:b/>
          <w:bCs/>
          <w:color w:val="auto"/>
          <w:sz w:val="32"/>
          <w:szCs w:val="32"/>
          <w:highlight w:val="none"/>
          <w:lang w:eastAsia="zh-CN"/>
        </w:rPr>
        <w:t>（</w:t>
      </w:r>
      <w:r>
        <w:rPr>
          <w:rFonts w:hint="eastAsia" w:ascii="Times New Roman" w:hAnsi="Times New Roman" w:eastAsia="楷体_GB2312" w:cs="Times New Roman"/>
          <w:b/>
          <w:bCs/>
          <w:color w:val="auto"/>
          <w:sz w:val="32"/>
          <w:szCs w:val="32"/>
          <w:highlight w:val="none"/>
          <w:lang w:val="en-US" w:eastAsia="zh-CN"/>
        </w:rPr>
        <w:t>三</w:t>
      </w:r>
      <w:r>
        <w:rPr>
          <w:rFonts w:hint="eastAsia" w:ascii="Times New Roman" w:hAnsi="Times New Roman" w:eastAsia="楷体_GB2312" w:cs="Times New Roman"/>
          <w:b/>
          <w:bCs/>
          <w:color w:val="auto"/>
          <w:sz w:val="32"/>
          <w:szCs w:val="32"/>
          <w:highlight w:val="none"/>
          <w:lang w:eastAsia="zh-CN"/>
        </w:rPr>
        <w:t>）社会保险基金预算执行情况</w:t>
      </w:r>
    </w:p>
    <w:p w14:paraId="7277020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社会保险基金预算方面，由于作为市政府派出机构，高新区无独立社会保险基金，相关社保基金均同于其他市直部门缴纳至市社保部门，故暂不具备单独编制社保基金预算条件。</w:t>
      </w:r>
    </w:p>
    <w:p w14:paraId="5F61B1A2">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楷体_GB2312" w:cs="Times New Roman"/>
          <w:b/>
          <w:bCs/>
          <w:color w:val="auto"/>
          <w:sz w:val="32"/>
          <w:szCs w:val="32"/>
          <w:highlight w:val="none"/>
          <w:lang w:eastAsia="zh-CN"/>
        </w:rPr>
      </w:pPr>
      <w:r>
        <w:rPr>
          <w:rFonts w:hint="eastAsia" w:ascii="Times New Roman" w:hAnsi="Times New Roman" w:eastAsia="楷体_GB2312" w:cs="Times New Roman"/>
          <w:b/>
          <w:bCs/>
          <w:color w:val="auto"/>
          <w:sz w:val="32"/>
          <w:szCs w:val="32"/>
          <w:highlight w:val="none"/>
          <w:lang w:eastAsia="zh-CN"/>
        </w:rPr>
        <w:t>国有资本经营预算执行情况</w:t>
      </w:r>
    </w:p>
    <w:p w14:paraId="2A83B443">
      <w:pPr>
        <w:pStyle w:val="8"/>
        <w:numPr>
          <w:ilvl w:val="0"/>
          <w:numId w:val="0"/>
        </w:numPr>
        <w:ind w:firstLine="640" w:firstLineChars="200"/>
        <w:rPr>
          <w:rFonts w:hint="eastAsia"/>
          <w:color w:val="auto"/>
          <w:highlight w:val="none"/>
          <w:lang w:eastAsia="zh-CN"/>
        </w:rPr>
      </w:pPr>
      <w:r>
        <w:rPr>
          <w:rFonts w:hint="eastAsia" w:ascii="仿宋_GB2312" w:hAnsi="仿宋_GB2312" w:cs="仿宋_GB2312"/>
          <w:b w:val="0"/>
          <w:color w:val="auto"/>
          <w:kern w:val="2"/>
          <w:sz w:val="32"/>
          <w:szCs w:val="32"/>
          <w:highlight w:val="none"/>
          <w:lang w:val="en-US" w:eastAsia="zh-CN" w:bidi="ar-SA"/>
        </w:rPr>
        <w:t>根据《国务院关于进一步深化预算管理制度改革的意见》（国发〔2021〕5号）和《江西省人民政府关于进一步完善全省国有资本经营预算制度的意见》（赣府发〔2024〕5号）文件“经本级人大及其常委会批准，国有资本规模较小或国有企业数量较少的市县可以不编制国有资本经营预算”规定，我区国有资本收支规模一直较小，为规范预算编制，经报请市人大和市财政局同意后，</w:t>
      </w:r>
      <w:r>
        <w:rPr>
          <w:rFonts w:hint="eastAsia" w:ascii="仿宋_GB2312" w:hAnsi="仿宋_GB2312" w:eastAsia="仿宋_GB2312" w:cs="仿宋_GB2312"/>
          <w:b w:val="0"/>
          <w:color w:val="auto"/>
          <w:kern w:val="2"/>
          <w:sz w:val="32"/>
          <w:szCs w:val="32"/>
          <w:highlight w:val="none"/>
          <w:lang w:val="en-US" w:eastAsia="zh-CN" w:bidi="ar-SA"/>
        </w:rPr>
        <w:t>我区自2024年开始不单独编制国有资本经营预算，将国有资本经营预算收支纳入一般公共预算统一核算。</w:t>
      </w:r>
    </w:p>
    <w:p w14:paraId="20F0788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以上为</w:t>
      </w:r>
      <w:r>
        <w:rPr>
          <w:rFonts w:hint="eastAsia" w:ascii="仿宋_GB2312" w:hAnsi="仿宋_GB2312" w:cs="仿宋_GB2312"/>
          <w:color w:val="auto"/>
          <w:sz w:val="32"/>
          <w:szCs w:val="32"/>
          <w:highlight w:val="none"/>
          <w:lang w:val="en-US" w:eastAsia="zh-CN"/>
        </w:rPr>
        <w:t>高新区2025年</w:t>
      </w:r>
      <w:r>
        <w:rPr>
          <w:rFonts w:hint="eastAsia" w:ascii="仿宋_GB2312" w:hAnsi="仿宋_GB2312" w:eastAsia="仿宋_GB2312" w:cs="仿宋_GB2312"/>
          <w:color w:val="auto"/>
          <w:sz w:val="32"/>
          <w:szCs w:val="32"/>
          <w:highlight w:val="none"/>
        </w:rPr>
        <w:t>预算执行情况，在年度预算执行完毕、编制决算以及与</w:t>
      </w:r>
      <w:r>
        <w:rPr>
          <w:rFonts w:hint="eastAsia" w:ascii="仿宋_GB2312" w:hAnsi="仿宋_GB2312" w:cs="仿宋_GB2312"/>
          <w:color w:val="auto"/>
          <w:sz w:val="32"/>
          <w:szCs w:val="32"/>
          <w:highlight w:val="none"/>
          <w:lang w:val="en-US" w:eastAsia="zh-CN"/>
        </w:rPr>
        <w:t>市</w:t>
      </w:r>
      <w:r>
        <w:rPr>
          <w:rFonts w:hint="eastAsia" w:ascii="仿宋_GB2312" w:hAnsi="仿宋_GB2312" w:eastAsia="仿宋_GB2312" w:cs="仿宋_GB2312"/>
          <w:color w:val="auto"/>
          <w:sz w:val="32"/>
          <w:szCs w:val="32"/>
          <w:highlight w:val="none"/>
        </w:rPr>
        <w:t>财政结算后还将会发生变化，届时再向市人大常委会报告。</w:t>
      </w:r>
    </w:p>
    <w:p w14:paraId="03A726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cs="仿宋_GB2312"/>
          <w:color w:val="auto"/>
          <w:sz w:val="32"/>
          <w:szCs w:val="32"/>
          <w:highlight w:val="none"/>
          <w:lang w:val="en-US" w:eastAsia="zh-CN"/>
        </w:rPr>
        <w:t>2025</w:t>
      </w:r>
      <w:r>
        <w:rPr>
          <w:rFonts w:hint="eastAsia" w:ascii="仿宋_GB2312" w:hAnsi="仿宋_GB2312" w:eastAsia="仿宋_GB2312" w:cs="仿宋_GB2312"/>
          <w:color w:val="auto"/>
          <w:sz w:val="32"/>
          <w:szCs w:val="32"/>
          <w:highlight w:val="none"/>
        </w:rPr>
        <w:t>年，</w:t>
      </w:r>
      <w:r>
        <w:rPr>
          <w:rFonts w:hint="eastAsia" w:ascii="仿宋_GB2312" w:hAnsi="仿宋_GB2312" w:cs="仿宋_GB2312"/>
          <w:color w:val="auto"/>
          <w:sz w:val="32"/>
          <w:szCs w:val="32"/>
          <w:highlight w:val="none"/>
          <w:lang w:val="en-US" w:eastAsia="zh-CN"/>
        </w:rPr>
        <w:t>高新区</w:t>
      </w:r>
      <w:r>
        <w:rPr>
          <w:rFonts w:hint="eastAsia" w:ascii="仿宋_GB2312" w:hAnsi="仿宋_GB2312" w:eastAsia="仿宋_GB2312" w:cs="仿宋_GB2312"/>
          <w:color w:val="auto"/>
          <w:sz w:val="32"/>
          <w:szCs w:val="32"/>
          <w:highlight w:val="none"/>
        </w:rPr>
        <w:t>财政部门认真落实市委、市政府决策部署，主动接受人大监督指导，牢固树立“大财政”理念，</w:t>
      </w:r>
      <w:r>
        <w:rPr>
          <w:rFonts w:hint="eastAsia" w:ascii="仿宋_GB2312" w:hAnsi="仿宋_GB2312" w:eastAsia="仿宋_GB2312" w:cs="仿宋_GB2312"/>
          <w:color w:val="auto"/>
          <w:sz w:val="32"/>
          <w:szCs w:val="32"/>
          <w:highlight w:val="none"/>
          <w:lang w:val="en-US" w:eastAsia="zh-CN"/>
        </w:rPr>
        <w:t>科学分析经济运行情况，系统谋划实施增收节支举措，全力防范化解财政金融风险，</w:t>
      </w:r>
      <w:r>
        <w:rPr>
          <w:rFonts w:hint="eastAsia" w:ascii="仿宋_GB2312" w:hAnsi="仿宋_GB2312" w:cs="仿宋_GB2312"/>
          <w:color w:val="auto"/>
          <w:sz w:val="32"/>
          <w:szCs w:val="32"/>
          <w:highlight w:val="none"/>
          <w:lang w:val="en-US" w:eastAsia="zh-CN"/>
        </w:rPr>
        <w:t>园区</w:t>
      </w:r>
      <w:r>
        <w:rPr>
          <w:rFonts w:hint="eastAsia" w:ascii="仿宋_GB2312" w:hAnsi="仿宋_GB2312" w:eastAsia="仿宋_GB2312" w:cs="仿宋_GB2312"/>
          <w:color w:val="auto"/>
          <w:sz w:val="32"/>
          <w:szCs w:val="32"/>
          <w:highlight w:val="none"/>
        </w:rPr>
        <w:t>财政平稳运行，财政体制改革深入推进，积极的财政政策有效发挥。</w:t>
      </w:r>
    </w:p>
    <w:p w14:paraId="0F446EC4">
      <w:pPr>
        <w:spacing w:line="560" w:lineRule="exact"/>
        <w:ind w:firstLine="643" w:firstLineChars="200"/>
        <w:rPr>
          <w:rFonts w:hint="default" w:ascii="仿宋_GB2312" w:hAnsi="仿宋_GB2312" w:eastAsia="仿宋_GB2312" w:cs="仿宋_GB2312"/>
          <w:b w:val="0"/>
          <w:bCs w:val="0"/>
          <w:color w:val="auto"/>
          <w:sz w:val="32"/>
          <w:szCs w:val="32"/>
          <w:highlight w:val="yellow"/>
          <w:lang w:val="en-US" w:eastAsia="zh-CN"/>
        </w:rPr>
      </w:pPr>
      <w:r>
        <w:rPr>
          <w:rFonts w:hint="eastAsia" w:ascii="仿宋_GB2312" w:hAnsi="仿宋_GB2312" w:eastAsia="仿宋_GB2312" w:cs="仿宋_GB2312"/>
          <w:b/>
          <w:bCs/>
          <w:color w:val="auto"/>
          <w:sz w:val="32"/>
          <w:szCs w:val="32"/>
          <w:highlight w:val="none"/>
          <w:lang w:val="en-US" w:eastAsia="zh-CN"/>
        </w:rPr>
        <w:t>一是</w:t>
      </w:r>
      <w:r>
        <w:rPr>
          <w:rFonts w:hint="eastAsia" w:ascii="仿宋_GB2312" w:hAnsi="仿宋_GB2312" w:cs="仿宋_GB2312"/>
          <w:b/>
          <w:bCs/>
          <w:color w:val="auto"/>
          <w:sz w:val="32"/>
          <w:szCs w:val="32"/>
          <w:highlight w:val="none"/>
          <w:lang w:val="en-US" w:eastAsia="zh-CN"/>
        </w:rPr>
        <w:t>落实过紧日子要求，强化预算管理</w:t>
      </w:r>
      <w:r>
        <w:rPr>
          <w:rFonts w:hint="eastAsia" w:ascii="仿宋_GB2312" w:hAnsi="仿宋_GB2312" w:eastAsia="仿宋_GB2312" w:cs="仿宋_GB2312"/>
          <w:b/>
          <w:bCs/>
          <w:color w:val="auto"/>
          <w:sz w:val="32"/>
          <w:szCs w:val="32"/>
          <w:highlight w:val="none"/>
          <w:lang w:val="en-US" w:eastAsia="zh-CN"/>
        </w:rPr>
        <w:t>。</w:t>
      </w:r>
      <w:r>
        <w:rPr>
          <w:rFonts w:hint="eastAsia" w:ascii="仿宋_GB2312" w:hAnsi="仿宋_GB2312" w:cs="仿宋_GB2312"/>
          <w:b w:val="0"/>
          <w:bCs w:val="0"/>
          <w:color w:val="auto"/>
          <w:sz w:val="32"/>
          <w:szCs w:val="32"/>
          <w:highlight w:val="none"/>
          <w:lang w:val="en-US" w:eastAsia="zh-CN"/>
        </w:rPr>
        <w:t>结合本区实际，出台《景德镇高新区预算评审管理办法（暂行）》、《关于进一步规范政府向社会力量购买服务工作的通知》，重新调整全区各部门公用支出标准，厘清基本支出和项目支出界限；继续</w:t>
      </w:r>
      <w:r>
        <w:rPr>
          <w:rFonts w:hint="eastAsia" w:ascii="仿宋_GB2312" w:hAnsi="仿宋_GB2312" w:eastAsia="仿宋_GB2312" w:cs="仿宋_GB2312"/>
          <w:b w:val="0"/>
          <w:bCs w:val="0"/>
          <w:color w:val="auto"/>
          <w:sz w:val="32"/>
          <w:szCs w:val="32"/>
          <w:highlight w:val="none"/>
          <w:lang w:val="en-US" w:eastAsia="zh-CN"/>
        </w:rPr>
        <w:t>对年度截至9月30日本级部门年初预算安排的项目支出执行进度低于30%的，除基本建设(含数字化项目)和有合同约定等特殊项目外，一律按20%比例扣减当年支出预算，收回各部门事务性支出指标合计</w:t>
      </w:r>
      <w:r>
        <w:rPr>
          <w:rFonts w:hint="eastAsia" w:ascii="仿宋_GB2312" w:hAnsi="仿宋_GB2312" w:cs="仿宋_GB2312"/>
          <w:b w:val="0"/>
          <w:bCs w:val="0"/>
          <w:color w:val="auto"/>
          <w:sz w:val="32"/>
          <w:szCs w:val="32"/>
          <w:highlight w:val="none"/>
          <w:lang w:val="en-US" w:eastAsia="zh-CN"/>
        </w:rPr>
        <w:t>1052</w:t>
      </w:r>
      <w:r>
        <w:rPr>
          <w:rFonts w:hint="eastAsia" w:ascii="仿宋_GB2312" w:hAnsi="仿宋_GB2312" w:eastAsia="仿宋_GB2312" w:cs="仿宋_GB2312"/>
          <w:b w:val="0"/>
          <w:bCs w:val="0"/>
          <w:color w:val="auto"/>
          <w:sz w:val="32"/>
          <w:szCs w:val="32"/>
          <w:highlight w:val="none"/>
          <w:lang w:val="en-US" w:eastAsia="zh-CN"/>
        </w:rPr>
        <w:t>万元；清理盘活存量资金共计</w:t>
      </w:r>
      <w:r>
        <w:rPr>
          <w:rFonts w:hint="eastAsia" w:ascii="仿宋_GB2312" w:hAnsi="仿宋_GB2312" w:cs="仿宋_GB2312"/>
          <w:b w:val="0"/>
          <w:bCs w:val="0"/>
          <w:color w:val="auto"/>
          <w:sz w:val="32"/>
          <w:szCs w:val="32"/>
          <w:highlight w:val="none"/>
          <w:lang w:val="en-US" w:eastAsia="zh-CN"/>
        </w:rPr>
        <w:t>6969</w:t>
      </w:r>
      <w:r>
        <w:rPr>
          <w:rFonts w:hint="eastAsia" w:ascii="仿宋_GB2312" w:hAnsi="仿宋_GB2312" w:eastAsia="仿宋_GB2312" w:cs="仿宋_GB2312"/>
          <w:b w:val="0"/>
          <w:bCs w:val="0"/>
          <w:color w:val="auto"/>
          <w:sz w:val="32"/>
          <w:szCs w:val="32"/>
          <w:highlight w:val="none"/>
          <w:lang w:val="en-US" w:eastAsia="zh-CN"/>
        </w:rPr>
        <w:t>万元，其中国库集中支付盘活指标</w:t>
      </w:r>
      <w:r>
        <w:rPr>
          <w:rFonts w:hint="eastAsia" w:ascii="仿宋_GB2312" w:hAnsi="仿宋_GB2312" w:cs="仿宋_GB2312"/>
          <w:b w:val="0"/>
          <w:bCs w:val="0"/>
          <w:color w:val="auto"/>
          <w:sz w:val="32"/>
          <w:szCs w:val="32"/>
          <w:highlight w:val="none"/>
          <w:lang w:val="en-US" w:eastAsia="zh-CN"/>
        </w:rPr>
        <w:t>6577</w:t>
      </w:r>
      <w:r>
        <w:rPr>
          <w:rFonts w:hint="eastAsia" w:ascii="仿宋_GB2312" w:hAnsi="仿宋_GB2312" w:eastAsia="仿宋_GB2312" w:cs="仿宋_GB2312"/>
          <w:b w:val="0"/>
          <w:bCs w:val="0"/>
          <w:color w:val="auto"/>
          <w:sz w:val="32"/>
          <w:szCs w:val="32"/>
          <w:highlight w:val="none"/>
          <w:lang w:val="en-US" w:eastAsia="zh-CN"/>
        </w:rPr>
        <w:t>万元，实有账户资金盘活收回统筹使用</w:t>
      </w:r>
      <w:r>
        <w:rPr>
          <w:rFonts w:hint="eastAsia" w:ascii="仿宋_GB2312" w:hAnsi="仿宋_GB2312" w:cs="仿宋_GB2312"/>
          <w:b w:val="0"/>
          <w:bCs w:val="0"/>
          <w:color w:val="auto"/>
          <w:sz w:val="32"/>
          <w:szCs w:val="32"/>
          <w:highlight w:val="none"/>
          <w:lang w:val="en-US" w:eastAsia="zh-CN"/>
        </w:rPr>
        <w:t>392</w:t>
      </w:r>
      <w:r>
        <w:rPr>
          <w:rFonts w:hint="eastAsia" w:ascii="仿宋_GB2312" w:hAnsi="仿宋_GB2312" w:eastAsia="仿宋_GB2312" w:cs="仿宋_GB2312"/>
          <w:b w:val="0"/>
          <w:bCs w:val="0"/>
          <w:color w:val="auto"/>
          <w:sz w:val="32"/>
          <w:szCs w:val="32"/>
          <w:highlight w:val="none"/>
          <w:lang w:val="en-US" w:eastAsia="zh-CN"/>
        </w:rPr>
        <w:t>万元。</w:t>
      </w:r>
    </w:p>
    <w:p w14:paraId="02FA449E">
      <w:pPr>
        <w:pStyle w:val="8"/>
        <w:ind w:firstLine="643" w:firstLineChars="200"/>
        <w:rPr>
          <w:rFonts w:hint="default"/>
          <w:color w:val="auto"/>
          <w:lang w:val="en-US" w:eastAsia="zh-CN"/>
        </w:rPr>
      </w:pPr>
      <w:r>
        <w:rPr>
          <w:rFonts w:hint="eastAsia"/>
          <w:b/>
          <w:bCs/>
          <w:color w:val="auto"/>
          <w:highlight w:val="none"/>
          <w:lang w:val="en-US" w:eastAsia="zh-CN"/>
        </w:rPr>
        <w:t>二是</w:t>
      </w:r>
      <w:r>
        <w:rPr>
          <w:rFonts w:hint="default"/>
          <w:b/>
          <w:bCs/>
          <w:color w:val="auto"/>
          <w:highlight w:val="none"/>
          <w:lang w:val="en-US" w:eastAsia="zh-CN"/>
        </w:rPr>
        <w:t>积极财政加力提效，政策赋能实体经济</w:t>
      </w:r>
      <w:r>
        <w:rPr>
          <w:rFonts w:hint="eastAsia"/>
          <w:b/>
          <w:bCs/>
          <w:color w:val="auto"/>
          <w:highlight w:val="none"/>
          <w:lang w:val="en-US" w:eastAsia="zh-CN"/>
        </w:rPr>
        <w:t>。</w:t>
      </w:r>
      <w:r>
        <w:rPr>
          <w:rFonts w:hint="eastAsia"/>
          <w:b w:val="0"/>
          <w:bCs w:val="0"/>
          <w:color w:val="auto"/>
          <w:highlight w:val="none"/>
          <w:lang w:val="en-US" w:eastAsia="zh-CN"/>
        </w:rPr>
        <w:t>一是</w:t>
      </w:r>
      <w:r>
        <w:rPr>
          <w:rFonts w:hint="eastAsia"/>
          <w:b w:val="0"/>
          <w:bCs w:val="0"/>
          <w:color w:val="auto"/>
          <w:lang w:val="en-US" w:eastAsia="zh-CN"/>
        </w:rPr>
        <w:t>支持产业</w:t>
      </w:r>
      <w:r>
        <w:rPr>
          <w:rFonts w:hint="eastAsia"/>
          <w:color w:val="auto"/>
          <w:lang w:val="en-US" w:eastAsia="zh-CN"/>
        </w:rPr>
        <w:t>支出上持续加力，全年</w:t>
      </w:r>
      <w:r>
        <w:rPr>
          <w:rFonts w:hint="eastAsia" w:ascii="仿宋_GB2312" w:hAnsi="仿宋_GB2312" w:cs="仿宋_GB2312"/>
          <w:color w:val="auto"/>
          <w:sz w:val="32"/>
          <w:szCs w:val="32"/>
          <w:highlight w:val="none"/>
          <w:lang w:val="en-US" w:eastAsia="zh-CN"/>
        </w:rPr>
        <w:t>落实企业优惠政策兑现0.98亿元，直接</w:t>
      </w:r>
      <w:r>
        <w:rPr>
          <w:rFonts w:hint="eastAsia" w:ascii="仿宋_GB2312" w:hAnsi="仿宋_GB2312" w:eastAsia="仿宋_GB2312" w:cs="仿宋_GB2312"/>
          <w:color w:val="auto"/>
          <w:sz w:val="32"/>
          <w:szCs w:val="32"/>
          <w:highlight w:val="none"/>
          <w:lang w:val="en-US" w:eastAsia="zh-CN"/>
        </w:rPr>
        <w:t>有效支持科技创新</w:t>
      </w:r>
      <w:r>
        <w:rPr>
          <w:rFonts w:hint="eastAsia" w:ascii="仿宋_GB2312" w:hAnsi="仿宋_GB2312" w:cs="仿宋_GB2312"/>
          <w:color w:val="auto"/>
          <w:sz w:val="32"/>
          <w:szCs w:val="32"/>
          <w:highlight w:val="none"/>
          <w:lang w:val="en-US" w:eastAsia="zh-CN"/>
        </w:rPr>
        <w:t>，同时安排北航研究院支出0.12亿元，助力</w:t>
      </w:r>
      <w:r>
        <w:rPr>
          <w:rFonts w:hint="eastAsia" w:ascii="仿宋_GB2312" w:hAnsi="仿宋_GB2312" w:eastAsia="仿宋_GB2312" w:cs="仿宋_GB2312"/>
          <w:color w:val="auto"/>
          <w:sz w:val="32"/>
          <w:szCs w:val="32"/>
          <w:highlight w:val="none"/>
          <w:lang w:val="en-US" w:eastAsia="zh-CN"/>
        </w:rPr>
        <w:t>加快科研成果转化；</w:t>
      </w:r>
      <w:r>
        <w:rPr>
          <w:rFonts w:hint="eastAsia" w:ascii="仿宋_GB2312" w:hAnsi="仿宋_GB2312" w:cs="仿宋_GB2312"/>
          <w:color w:val="auto"/>
          <w:sz w:val="32"/>
          <w:szCs w:val="32"/>
          <w:highlight w:val="none"/>
          <w:lang w:val="en-US" w:eastAsia="zh-CN"/>
        </w:rPr>
        <w:t>二是全力</w:t>
      </w:r>
      <w:r>
        <w:rPr>
          <w:rFonts w:hint="default"/>
          <w:color w:val="auto"/>
          <w:highlight w:val="none"/>
          <w:lang w:val="en-US" w:eastAsia="zh-CN"/>
        </w:rPr>
        <w:t>落实</w:t>
      </w:r>
      <w:r>
        <w:rPr>
          <w:rFonts w:hint="eastAsia"/>
          <w:color w:val="auto"/>
          <w:highlight w:val="none"/>
          <w:lang w:val="en-US" w:eastAsia="zh-CN"/>
        </w:rPr>
        <w:t>中央减税降费政策</w:t>
      </w:r>
      <w:r>
        <w:rPr>
          <w:rFonts w:hint="default"/>
          <w:color w:val="auto"/>
          <w:highlight w:val="none"/>
          <w:lang w:val="en-US" w:eastAsia="zh-CN"/>
        </w:rPr>
        <w:t>，</w:t>
      </w:r>
      <w:r>
        <w:rPr>
          <w:rFonts w:hint="eastAsia"/>
          <w:color w:val="auto"/>
          <w:highlight w:val="none"/>
          <w:lang w:val="en-US" w:eastAsia="zh-CN"/>
        </w:rPr>
        <w:t>全年落实企业留抵退税金额1.83亿元，</w:t>
      </w:r>
      <w:r>
        <w:rPr>
          <w:rFonts w:hint="default"/>
          <w:color w:val="auto"/>
          <w:highlight w:val="none"/>
          <w:lang w:val="en-US" w:eastAsia="zh-CN"/>
        </w:rPr>
        <w:t>切实减轻</w:t>
      </w:r>
      <w:r>
        <w:rPr>
          <w:rFonts w:hint="eastAsia"/>
          <w:color w:val="auto"/>
          <w:highlight w:val="none"/>
          <w:lang w:val="en-US" w:eastAsia="zh-CN"/>
        </w:rPr>
        <w:t>市场</w:t>
      </w:r>
      <w:r>
        <w:rPr>
          <w:rFonts w:hint="default"/>
          <w:color w:val="auto"/>
          <w:highlight w:val="none"/>
          <w:lang w:val="en-US" w:eastAsia="zh-CN"/>
        </w:rPr>
        <w:t>主体负担，</w:t>
      </w:r>
      <w:r>
        <w:rPr>
          <w:rFonts w:hint="eastAsia"/>
          <w:color w:val="auto"/>
          <w:highlight w:val="none"/>
          <w:lang w:val="en-US" w:eastAsia="zh-CN"/>
        </w:rPr>
        <w:t>助力园区</w:t>
      </w:r>
      <w:r>
        <w:rPr>
          <w:rFonts w:hint="default"/>
          <w:color w:val="auto"/>
          <w:highlight w:val="none"/>
          <w:lang w:val="en-US" w:eastAsia="zh-CN"/>
        </w:rPr>
        <w:t>实体经济与中小微企</w:t>
      </w:r>
      <w:r>
        <w:rPr>
          <w:rFonts w:hint="default"/>
          <w:color w:val="auto"/>
          <w:lang w:val="en-US" w:eastAsia="zh-CN"/>
        </w:rPr>
        <w:t>业发展</w:t>
      </w:r>
      <w:r>
        <w:rPr>
          <w:rFonts w:hint="eastAsia"/>
          <w:color w:val="auto"/>
          <w:lang w:val="en-US" w:eastAsia="zh-CN"/>
        </w:rPr>
        <w:t>；三是重点项目保障方面协</w:t>
      </w:r>
      <w:r>
        <w:rPr>
          <w:rFonts w:hint="eastAsia"/>
          <w:color w:val="auto"/>
          <w:highlight w:val="none"/>
          <w:lang w:val="en-US" w:eastAsia="zh-CN"/>
        </w:rPr>
        <w:t>同发力，统筹用好特别国债和上级专项资金，全年超长期特别国债支出0.48亿元，同比增长53.39%，上级专项资金支出1.27亿元，同比增长58.07%，持续加大对园区重大项目的投入强度，充分发挥投资对经济发展的关键支撑作用。</w:t>
      </w:r>
    </w:p>
    <w:p w14:paraId="518112DA">
      <w:pPr>
        <w:spacing w:line="560" w:lineRule="exact"/>
        <w:ind w:firstLine="643"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bCs/>
          <w:color w:val="auto"/>
          <w:sz w:val="32"/>
          <w:szCs w:val="32"/>
          <w:highlight w:val="none"/>
        </w:rPr>
        <w:t>三是严守财政安全底线，风险防控稳健有效。</w:t>
      </w:r>
      <w:r>
        <w:rPr>
          <w:rFonts w:hint="eastAsia" w:ascii="仿宋_GB2312" w:hAnsi="仿宋_GB2312" w:cs="仿宋_GB2312"/>
          <w:b/>
          <w:bCs/>
          <w:color w:val="auto"/>
          <w:sz w:val="32"/>
          <w:szCs w:val="32"/>
          <w:highlight w:val="none"/>
          <w:lang w:eastAsia="zh-CN"/>
        </w:rPr>
        <w:t>一方面</w:t>
      </w:r>
      <w:r>
        <w:rPr>
          <w:rFonts w:hint="eastAsia" w:ascii="仿宋_GB2312" w:hAnsi="仿宋_GB2312" w:eastAsia="仿宋_GB2312" w:cs="仿宋_GB2312"/>
          <w:b/>
          <w:bCs/>
          <w:color w:val="auto"/>
          <w:sz w:val="32"/>
          <w:szCs w:val="32"/>
          <w:highlight w:val="none"/>
          <w:lang w:val="en-US" w:eastAsia="zh-CN"/>
        </w:rPr>
        <w:t>严格</w:t>
      </w:r>
      <w:r>
        <w:rPr>
          <w:rFonts w:hint="eastAsia" w:ascii="仿宋_GB2312" w:hAnsi="仿宋_GB2312" w:eastAsia="仿宋_GB2312" w:cs="仿宋_GB2312"/>
          <w:b/>
          <w:bCs/>
          <w:color w:val="auto"/>
          <w:sz w:val="32"/>
          <w:szCs w:val="32"/>
          <w:highlight w:val="none"/>
        </w:rPr>
        <w:t>控制债务风险</w:t>
      </w:r>
      <w:r>
        <w:rPr>
          <w:rFonts w:hint="eastAsia" w:ascii="仿宋_GB2312" w:hAnsi="仿宋_GB2312" w:cs="仿宋_GB2312"/>
          <w:b/>
          <w:bCs/>
          <w:color w:val="auto"/>
          <w:sz w:val="32"/>
          <w:szCs w:val="32"/>
          <w:highlight w:val="none"/>
          <w:lang w:eastAsia="zh-CN"/>
        </w:rPr>
        <w:t>，</w:t>
      </w:r>
      <w:r>
        <w:rPr>
          <w:rFonts w:hint="eastAsia" w:ascii="仿宋_GB2312" w:hAnsi="仿宋_GB2312" w:cs="仿宋_GB2312"/>
          <w:b w:val="0"/>
          <w:bCs w:val="0"/>
          <w:color w:val="auto"/>
          <w:sz w:val="32"/>
          <w:szCs w:val="32"/>
          <w:highlight w:val="none"/>
          <w:lang w:val="en-US" w:eastAsia="zh-CN"/>
        </w:rPr>
        <w:t>2025年</w:t>
      </w:r>
      <w:r>
        <w:rPr>
          <w:rFonts w:hint="eastAsia" w:ascii="仿宋_GB2312" w:hAnsi="仿宋_GB2312" w:cs="仿宋_GB2312"/>
          <w:b w:val="0"/>
          <w:bCs w:val="0"/>
          <w:color w:val="auto"/>
          <w:sz w:val="32"/>
          <w:szCs w:val="32"/>
          <w:highlight w:val="none"/>
          <w:lang w:eastAsia="zh-CN"/>
        </w:rPr>
        <w:t>我区政府债务率有效控制在绿色安全范围内，并</w:t>
      </w:r>
      <w:r>
        <w:rPr>
          <w:rFonts w:hint="eastAsia" w:ascii="仿宋_GB2312" w:hAnsi="仿宋_GB2312" w:eastAsia="仿宋_GB2312" w:cs="仿宋_GB2312"/>
          <w:b w:val="0"/>
          <w:bCs w:val="0"/>
          <w:color w:val="auto"/>
          <w:sz w:val="32"/>
          <w:szCs w:val="32"/>
          <w:highlight w:val="none"/>
        </w:rPr>
        <w:t>严格执行政府债务限额管理制度，有序化解存量。每月定期测算债务风险等级，严格</w:t>
      </w:r>
      <w:r>
        <w:rPr>
          <w:rFonts w:hint="eastAsia" w:ascii="仿宋_GB2312" w:hAnsi="仿宋_GB2312" w:cs="仿宋_GB2312"/>
          <w:b w:val="0"/>
          <w:bCs w:val="0"/>
          <w:color w:val="auto"/>
          <w:sz w:val="32"/>
          <w:szCs w:val="32"/>
          <w:highlight w:val="none"/>
          <w:lang w:eastAsia="zh-CN"/>
        </w:rPr>
        <w:t>控制</w:t>
      </w:r>
      <w:r>
        <w:rPr>
          <w:rFonts w:hint="eastAsia" w:ascii="仿宋_GB2312" w:hAnsi="仿宋_GB2312" w:eastAsia="仿宋_GB2312" w:cs="仿宋_GB2312"/>
          <w:b w:val="0"/>
          <w:bCs w:val="0"/>
          <w:color w:val="auto"/>
          <w:sz w:val="32"/>
          <w:szCs w:val="32"/>
          <w:highlight w:val="none"/>
        </w:rPr>
        <w:t>地方政府</w:t>
      </w:r>
      <w:r>
        <w:rPr>
          <w:rFonts w:hint="eastAsia" w:ascii="仿宋_GB2312" w:hAnsi="仿宋_GB2312" w:cs="仿宋_GB2312"/>
          <w:b w:val="0"/>
          <w:bCs w:val="0"/>
          <w:color w:val="auto"/>
          <w:sz w:val="32"/>
          <w:szCs w:val="32"/>
          <w:highlight w:val="none"/>
          <w:lang w:val="en-US" w:eastAsia="zh-CN"/>
        </w:rPr>
        <w:t>债务总量；</w:t>
      </w:r>
      <w:r>
        <w:rPr>
          <w:rFonts w:hint="eastAsia" w:ascii="仿宋_GB2312" w:hAnsi="仿宋_GB2312" w:cs="仿宋_GB2312"/>
          <w:b/>
          <w:bCs/>
          <w:color w:val="auto"/>
          <w:sz w:val="32"/>
          <w:szCs w:val="32"/>
          <w:highlight w:val="none"/>
          <w:lang w:eastAsia="zh-CN"/>
        </w:rPr>
        <w:t>另一方面全力防</w:t>
      </w:r>
      <w:r>
        <w:rPr>
          <w:rFonts w:hint="eastAsia" w:ascii="仿宋_GB2312" w:hAnsi="仿宋_GB2312" w:eastAsia="仿宋_GB2312" w:cs="仿宋_GB2312"/>
          <w:b/>
          <w:bCs/>
          <w:color w:val="auto"/>
          <w:sz w:val="32"/>
          <w:szCs w:val="32"/>
          <w:highlight w:val="none"/>
        </w:rPr>
        <w:t>范库款风险。</w:t>
      </w:r>
      <w:r>
        <w:rPr>
          <w:rFonts w:hint="eastAsia" w:ascii="仿宋_GB2312" w:hAnsi="仿宋_GB2312" w:eastAsia="仿宋_GB2312" w:cs="仿宋_GB2312"/>
          <w:b w:val="0"/>
          <w:bCs w:val="0"/>
          <w:color w:val="auto"/>
          <w:sz w:val="32"/>
          <w:szCs w:val="32"/>
          <w:highlight w:val="none"/>
        </w:rPr>
        <w:t>加强库款管理</w:t>
      </w:r>
      <w:r>
        <w:rPr>
          <w:rFonts w:hint="eastAsia" w:ascii="仿宋_GB2312" w:hAnsi="仿宋_GB2312" w:cs="仿宋_GB2312"/>
          <w:b w:val="0"/>
          <w:bCs w:val="0"/>
          <w:color w:val="auto"/>
          <w:sz w:val="32"/>
          <w:szCs w:val="32"/>
          <w:highlight w:val="none"/>
          <w:lang w:eastAsia="zh-CN"/>
        </w:rPr>
        <w:t>能力，</w:t>
      </w:r>
      <w:r>
        <w:rPr>
          <w:rFonts w:hint="eastAsia" w:ascii="仿宋_GB2312" w:hAnsi="仿宋_GB2312" w:eastAsia="仿宋_GB2312" w:cs="仿宋_GB2312"/>
          <w:b w:val="0"/>
          <w:bCs w:val="0"/>
          <w:color w:val="auto"/>
          <w:sz w:val="32"/>
          <w:szCs w:val="32"/>
          <w:highlight w:val="none"/>
        </w:rPr>
        <w:t>科学合理调拨资金，做好日常资金监控</w:t>
      </w:r>
      <w:r>
        <w:rPr>
          <w:rFonts w:hint="eastAsia" w:ascii="仿宋_GB2312" w:hAnsi="仿宋_GB2312" w:cs="仿宋_GB2312"/>
          <w:b w:val="0"/>
          <w:bCs w:val="0"/>
          <w:color w:val="auto"/>
          <w:sz w:val="32"/>
          <w:szCs w:val="32"/>
          <w:highlight w:val="none"/>
          <w:lang w:eastAsia="zh-CN"/>
        </w:rPr>
        <w:t>，</w:t>
      </w:r>
      <w:r>
        <w:rPr>
          <w:rFonts w:hint="eastAsia" w:ascii="仿宋_GB2312" w:hAnsi="仿宋_GB2312" w:cs="仿宋_GB2312"/>
          <w:b w:val="0"/>
          <w:bCs w:val="0"/>
          <w:color w:val="auto"/>
          <w:sz w:val="32"/>
          <w:szCs w:val="32"/>
          <w:highlight w:val="none"/>
          <w:lang w:val="en-US" w:eastAsia="zh-CN"/>
        </w:rPr>
        <w:t>在省财政厅</w:t>
      </w:r>
      <w:r>
        <w:rPr>
          <w:rFonts w:hint="eastAsia" w:ascii="仿宋_GB2312" w:hAnsi="仿宋_GB2312" w:cs="仿宋_GB2312"/>
          <w:b w:val="0"/>
          <w:bCs w:val="0"/>
          <w:color w:val="auto"/>
          <w:sz w:val="32"/>
          <w:szCs w:val="32"/>
          <w:highlight w:val="none"/>
          <w:lang w:eastAsia="zh-CN"/>
        </w:rPr>
        <w:t>近两年</w:t>
      </w:r>
      <w:r>
        <w:rPr>
          <w:rFonts w:hint="eastAsia" w:ascii="仿宋_GB2312" w:hAnsi="仿宋_GB2312" w:eastAsia="仿宋_GB2312" w:cs="仿宋_GB2312"/>
          <w:b w:val="0"/>
          <w:bCs w:val="0"/>
          <w:color w:val="auto"/>
          <w:sz w:val="32"/>
          <w:szCs w:val="32"/>
          <w:highlight w:val="none"/>
        </w:rPr>
        <w:t>对各市县库款</w:t>
      </w:r>
      <w:r>
        <w:rPr>
          <w:rFonts w:hint="eastAsia" w:ascii="仿宋_GB2312" w:hAnsi="仿宋_GB2312" w:cs="仿宋_GB2312"/>
          <w:b w:val="0"/>
          <w:bCs w:val="0"/>
          <w:color w:val="auto"/>
          <w:sz w:val="32"/>
          <w:szCs w:val="32"/>
          <w:highlight w:val="none"/>
          <w:lang w:val="en-US" w:eastAsia="zh-CN"/>
        </w:rPr>
        <w:t>风险提示的情况</w:t>
      </w:r>
      <w:r>
        <w:rPr>
          <w:rFonts w:hint="eastAsia" w:ascii="仿宋_GB2312" w:hAnsi="仿宋_GB2312" w:eastAsia="仿宋_GB2312" w:cs="仿宋_GB2312"/>
          <w:b w:val="0"/>
          <w:bCs w:val="0"/>
          <w:color w:val="auto"/>
          <w:sz w:val="32"/>
          <w:szCs w:val="32"/>
          <w:highlight w:val="none"/>
        </w:rPr>
        <w:t>通报</w:t>
      </w:r>
      <w:r>
        <w:rPr>
          <w:rFonts w:hint="eastAsia" w:ascii="仿宋_GB2312" w:hAnsi="仿宋_GB2312" w:cs="仿宋_GB2312"/>
          <w:b w:val="0"/>
          <w:bCs w:val="0"/>
          <w:color w:val="auto"/>
          <w:sz w:val="32"/>
          <w:szCs w:val="32"/>
          <w:highlight w:val="none"/>
          <w:lang w:val="en-US" w:eastAsia="zh-CN"/>
        </w:rPr>
        <w:t>中</w:t>
      </w:r>
      <w:r>
        <w:rPr>
          <w:rFonts w:hint="eastAsia" w:ascii="仿宋_GB2312" w:hAnsi="仿宋_GB2312" w:eastAsia="仿宋_GB2312" w:cs="仿宋_GB2312"/>
          <w:b w:val="0"/>
          <w:bCs w:val="0"/>
          <w:color w:val="auto"/>
          <w:sz w:val="32"/>
          <w:szCs w:val="32"/>
          <w:highlight w:val="none"/>
        </w:rPr>
        <w:t>，我区</w:t>
      </w:r>
      <w:r>
        <w:rPr>
          <w:rFonts w:hint="eastAsia" w:ascii="仿宋_GB2312" w:hAnsi="仿宋_GB2312" w:cs="仿宋_GB2312"/>
          <w:b w:val="0"/>
          <w:bCs w:val="0"/>
          <w:color w:val="auto"/>
          <w:sz w:val="32"/>
          <w:szCs w:val="32"/>
          <w:highlight w:val="none"/>
          <w:lang w:eastAsia="zh-CN"/>
        </w:rPr>
        <w:t>在严要求、强管理的情况下实现</w:t>
      </w:r>
      <w:r>
        <w:rPr>
          <w:rFonts w:hint="eastAsia" w:ascii="仿宋_GB2312" w:hAnsi="仿宋_GB2312" w:eastAsia="仿宋_GB2312" w:cs="仿宋_GB2312"/>
          <w:b w:val="0"/>
          <w:bCs w:val="0"/>
          <w:color w:val="auto"/>
          <w:sz w:val="32"/>
          <w:szCs w:val="32"/>
          <w:highlight w:val="none"/>
        </w:rPr>
        <w:t>零通报。</w:t>
      </w:r>
    </w:p>
    <w:p w14:paraId="6DE645AD">
      <w:pPr>
        <w:spacing w:line="560" w:lineRule="exact"/>
        <w:ind w:firstLine="643"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四</w:t>
      </w:r>
      <w:r>
        <w:rPr>
          <w:rFonts w:hint="eastAsia" w:ascii="仿宋_GB2312" w:hAnsi="仿宋_GB2312" w:eastAsia="仿宋_GB2312" w:cs="仿宋_GB2312"/>
          <w:b/>
          <w:bCs/>
          <w:color w:val="auto"/>
          <w:sz w:val="32"/>
          <w:szCs w:val="32"/>
          <w:highlight w:val="none"/>
        </w:rPr>
        <w:t>是</w:t>
      </w:r>
      <w:r>
        <w:rPr>
          <w:rFonts w:hint="eastAsia" w:ascii="仿宋_GB2312" w:hAnsi="仿宋_GB2312" w:eastAsia="仿宋_GB2312" w:cs="仿宋_GB2312"/>
          <w:b/>
          <w:bCs/>
          <w:color w:val="auto"/>
          <w:sz w:val="32"/>
          <w:szCs w:val="32"/>
          <w:highlight w:val="none"/>
          <w:lang w:val="en-US" w:eastAsia="zh-CN"/>
        </w:rPr>
        <w:t>精准滴灌助企发展</w:t>
      </w:r>
      <w:r>
        <w:rPr>
          <w:rFonts w:hint="eastAsia" w:ascii="仿宋_GB2312" w:hAnsi="仿宋_GB2312" w:cs="仿宋_GB2312"/>
          <w:b/>
          <w:bCs/>
          <w:color w:val="auto"/>
          <w:sz w:val="32"/>
          <w:szCs w:val="32"/>
          <w:highlight w:val="none"/>
          <w:lang w:val="en-US" w:eastAsia="zh-CN"/>
        </w:rPr>
        <w:t>，</w:t>
      </w:r>
      <w:r>
        <w:rPr>
          <w:rFonts w:hint="eastAsia" w:ascii="仿宋_GB2312" w:hAnsi="仿宋_GB2312" w:eastAsia="仿宋_GB2312" w:cs="仿宋_GB2312"/>
          <w:b/>
          <w:bCs/>
          <w:color w:val="auto"/>
          <w:sz w:val="32"/>
          <w:szCs w:val="32"/>
          <w:highlight w:val="none"/>
          <w:lang w:val="en-US" w:eastAsia="zh-CN"/>
        </w:rPr>
        <w:t>优化营商金融赋能</w:t>
      </w:r>
      <w:r>
        <w:rPr>
          <w:rFonts w:hint="eastAsia" w:ascii="仿宋_GB2312" w:hAnsi="仿宋_GB2312" w:eastAsia="仿宋_GB2312" w:cs="仿宋_GB2312"/>
          <w:b/>
          <w:bCs/>
          <w:color w:val="auto"/>
          <w:sz w:val="32"/>
          <w:szCs w:val="32"/>
          <w:highlight w:val="none"/>
        </w:rPr>
        <w:t>。</w:t>
      </w:r>
      <w:r>
        <w:rPr>
          <w:rFonts w:hint="eastAsia" w:ascii="仿宋_GB2312" w:hAnsi="仿宋_GB2312" w:cs="仿宋_GB2312"/>
          <w:color w:val="auto"/>
          <w:sz w:val="32"/>
          <w:szCs w:val="32"/>
          <w:highlight w:val="none"/>
          <w:lang w:val="en-US" w:eastAsia="zh-CN"/>
        </w:rPr>
        <w:t>2025年</w:t>
      </w:r>
      <w:r>
        <w:rPr>
          <w:rFonts w:hint="eastAsia" w:ascii="仿宋_GB2312" w:hAnsi="仿宋_GB2312" w:eastAsia="仿宋_GB2312" w:cs="仿宋_GB2312"/>
          <w:color w:val="auto"/>
          <w:sz w:val="32"/>
          <w:szCs w:val="32"/>
          <w:highlight w:val="none"/>
        </w:rPr>
        <w:t>帮助园区企业</w:t>
      </w:r>
      <w:r>
        <w:rPr>
          <w:rFonts w:hint="eastAsia" w:ascii="仿宋_GB2312" w:hAnsi="仿宋_GB2312" w:cs="仿宋_GB2312"/>
          <w:color w:val="auto"/>
          <w:sz w:val="32"/>
          <w:szCs w:val="32"/>
          <w:highlight w:val="none"/>
          <w:lang w:eastAsia="zh-CN"/>
        </w:rPr>
        <w:t>新增</w:t>
      </w:r>
      <w:r>
        <w:rPr>
          <w:rFonts w:hint="eastAsia" w:ascii="仿宋_GB2312" w:hAnsi="仿宋_GB2312" w:eastAsia="仿宋_GB2312" w:cs="仿宋_GB2312"/>
          <w:color w:val="auto"/>
          <w:sz w:val="32"/>
          <w:szCs w:val="32"/>
          <w:highlight w:val="none"/>
        </w:rPr>
        <w:t>金融机构普惠联合贷、流动资金</w:t>
      </w:r>
      <w:r>
        <w:rPr>
          <w:rFonts w:hint="eastAsia" w:ascii="仿宋_GB2312" w:hAnsi="仿宋_GB2312" w:cs="仿宋_GB2312"/>
          <w:color w:val="auto"/>
          <w:sz w:val="32"/>
          <w:szCs w:val="32"/>
          <w:highlight w:val="none"/>
          <w:lang w:eastAsia="zh-CN"/>
        </w:rPr>
        <w:t>等</w:t>
      </w:r>
      <w:r>
        <w:rPr>
          <w:rFonts w:hint="eastAsia" w:ascii="仿宋_GB2312" w:hAnsi="仿宋_GB2312" w:cs="仿宋_GB2312"/>
          <w:color w:val="auto"/>
          <w:sz w:val="32"/>
          <w:szCs w:val="32"/>
          <w:highlight w:val="none"/>
          <w:lang w:val="en-US" w:eastAsia="zh-CN"/>
        </w:rPr>
        <w:t>0.91亿</w:t>
      </w:r>
      <w:r>
        <w:rPr>
          <w:rFonts w:hint="eastAsia" w:ascii="仿宋_GB2312" w:hAnsi="仿宋_GB2312" w:eastAsia="仿宋_GB2312" w:cs="仿宋_GB2312"/>
          <w:color w:val="auto"/>
          <w:sz w:val="32"/>
          <w:szCs w:val="32"/>
          <w:highlight w:val="none"/>
        </w:rPr>
        <w:t>元</w:t>
      </w:r>
      <w:r>
        <w:rPr>
          <w:rFonts w:hint="eastAsia" w:ascii="仿宋_GB2312" w:hAnsi="仿宋_GB2312" w:cs="仿宋_GB2312"/>
          <w:color w:val="auto"/>
          <w:sz w:val="32"/>
          <w:szCs w:val="32"/>
          <w:highlight w:val="none"/>
          <w:lang w:eastAsia="zh-CN"/>
        </w:rPr>
        <w:t>；建立政银企三方协同机制，促成6家航空企业达成近7亿元合作意向，已实际授信6.18亿元；</w:t>
      </w:r>
      <w:r>
        <w:rPr>
          <w:rFonts w:hint="eastAsia" w:ascii="仿宋_GB2312" w:hAnsi="仿宋_GB2312" w:eastAsia="仿宋_GB2312" w:cs="仿宋_GB2312"/>
          <w:color w:val="auto"/>
          <w:sz w:val="32"/>
          <w:szCs w:val="32"/>
          <w:highlight w:val="none"/>
        </w:rPr>
        <w:t>深入实施“映山红行动”，推进企业上市工作，与江西股交上市培育服务中心有限公司签订战略合作协议，</w:t>
      </w:r>
      <w:r>
        <w:rPr>
          <w:rFonts w:hint="eastAsia" w:ascii="仿宋_GB2312" w:hAnsi="仿宋_GB2312" w:cs="仿宋_GB2312"/>
          <w:color w:val="auto"/>
          <w:sz w:val="32"/>
          <w:szCs w:val="32"/>
          <w:highlight w:val="none"/>
          <w:lang w:eastAsia="zh-CN"/>
        </w:rPr>
        <w:t>已有</w:t>
      </w:r>
      <w:r>
        <w:rPr>
          <w:rFonts w:hint="eastAsia" w:ascii="仿宋_GB2312" w:hAnsi="仿宋_GB2312" w:eastAsia="仿宋_GB2312" w:cs="仿宋_GB2312"/>
          <w:color w:val="auto"/>
          <w:sz w:val="32"/>
          <w:szCs w:val="32"/>
          <w:highlight w:val="none"/>
        </w:rPr>
        <w:t>8家企业进入省重点上市后备库。</w:t>
      </w:r>
    </w:p>
    <w:p w14:paraId="30A882E8">
      <w:pPr>
        <w:pStyle w:val="8"/>
        <w:ind w:firstLine="643"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bCs/>
          <w:color w:val="auto"/>
          <w:kern w:val="2"/>
          <w:sz w:val="32"/>
          <w:szCs w:val="32"/>
          <w:highlight w:val="none"/>
          <w:lang w:val="en-US" w:eastAsia="zh-CN" w:bidi="ar-SA"/>
        </w:rPr>
        <w:t>五是创新管理强化监督，提升财政运行效能。</w:t>
      </w:r>
      <w:r>
        <w:rPr>
          <w:rFonts w:hint="eastAsia" w:ascii="仿宋_GB2312" w:hAnsi="仿宋_GB2312" w:eastAsia="仿宋_GB2312" w:cs="仿宋_GB2312"/>
          <w:b w:val="0"/>
          <w:bCs w:val="0"/>
          <w:color w:val="auto"/>
          <w:kern w:val="2"/>
          <w:sz w:val="32"/>
          <w:szCs w:val="32"/>
          <w:highlight w:val="none"/>
          <w:lang w:val="en-US" w:eastAsia="zh-CN" w:bidi="ar-SA"/>
        </w:rPr>
        <w:t>我区持续强化财会监督管理质效，系统开展了套取资金专项整治、2021-2024年度区属部门政府购买服务专项检查、2024年上级专项资金核查等专项监督行动，有力追回违规发放的补贴资金。同时，注重源头治理，先后制定出台4项日常财务管理制度，进一步扎紧制度笼子，切实提升了区属部门财政支出的规范性和安全水平。</w:t>
      </w:r>
    </w:p>
    <w:p w14:paraId="421ED1E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黑体" w:hAnsi="黑体" w:eastAsia="黑体" w:cs="黑体"/>
          <w:b/>
          <w:bCs/>
          <w:color w:val="auto"/>
          <w:sz w:val="32"/>
          <w:szCs w:val="32"/>
          <w:highlight w:val="none"/>
        </w:rPr>
      </w:pPr>
      <w:r>
        <w:rPr>
          <w:rFonts w:hint="eastAsia" w:ascii="黑体" w:hAnsi="黑体" w:eastAsia="黑体" w:cs="黑体"/>
          <w:b/>
          <w:bCs/>
          <w:color w:val="auto"/>
          <w:sz w:val="32"/>
          <w:szCs w:val="32"/>
          <w:highlight w:val="none"/>
        </w:rPr>
        <w:t>二、202</w:t>
      </w:r>
      <w:r>
        <w:rPr>
          <w:rFonts w:hint="eastAsia" w:ascii="黑体" w:hAnsi="黑体" w:eastAsia="黑体" w:cs="黑体"/>
          <w:b/>
          <w:bCs/>
          <w:color w:val="auto"/>
          <w:sz w:val="32"/>
          <w:szCs w:val="32"/>
          <w:highlight w:val="none"/>
          <w:lang w:val="en-US" w:eastAsia="zh-CN"/>
        </w:rPr>
        <w:t>6</w:t>
      </w:r>
      <w:r>
        <w:rPr>
          <w:rFonts w:hint="eastAsia" w:ascii="黑体" w:hAnsi="黑体" w:eastAsia="黑体" w:cs="黑体"/>
          <w:b/>
          <w:bCs/>
          <w:color w:val="auto"/>
          <w:sz w:val="32"/>
          <w:szCs w:val="32"/>
          <w:highlight w:val="none"/>
        </w:rPr>
        <w:t>年高新区预算草案</w:t>
      </w:r>
    </w:p>
    <w:p w14:paraId="1F435E88">
      <w:pPr>
        <w:pStyle w:val="2"/>
        <w:ind w:left="0" w:leftChars="0" w:firstLine="640" w:firstLineChars="200"/>
        <w:rPr>
          <w:rFonts w:hint="default"/>
          <w:color w:val="auto"/>
          <w:lang w:val="en-US" w:eastAsia="zh-CN"/>
        </w:rPr>
      </w:pPr>
      <w:r>
        <w:rPr>
          <w:rFonts w:hint="eastAsia"/>
          <w:color w:val="auto"/>
          <w:lang w:val="en-US" w:eastAsia="zh-CN"/>
        </w:rPr>
        <w:t>2026年，高新区将深入贯彻落实“十五五”规划主要经济目标，坚持稳中求进工作总基调，坚持以经济建设为中心，以推动高质量发展为主题，以改革创新为根本动力，推动经济实现质的有效提升和量的合理增长。</w:t>
      </w:r>
      <w:r>
        <w:rPr>
          <w:rFonts w:hint="default"/>
          <w:color w:val="auto"/>
          <w:lang w:val="en-US" w:eastAsia="zh-CN"/>
        </w:rPr>
        <w:t>实施更加积极有为、精准、可持续的财政政策。加强中期财政规划管理，强化预算约束和绩效管理，健全地方政府债务管理长效机制，防范化解财政风险，为实现</w:t>
      </w:r>
      <w:r>
        <w:rPr>
          <w:rFonts w:hint="eastAsia"/>
          <w:color w:val="auto"/>
          <w:lang w:val="en-US" w:eastAsia="zh-CN"/>
        </w:rPr>
        <w:t>园区高质量发展</w:t>
      </w:r>
      <w:r>
        <w:rPr>
          <w:rFonts w:hint="default"/>
          <w:color w:val="auto"/>
          <w:lang w:val="en-US" w:eastAsia="zh-CN"/>
        </w:rPr>
        <w:t>提供坚实的财政支撑。</w:t>
      </w:r>
      <w:r>
        <w:rPr>
          <w:rFonts w:hint="eastAsia" w:ascii="仿宋_GB2312" w:hAnsi="仿宋_GB2312" w:cs="仿宋_GB2312"/>
          <w:b w:val="0"/>
          <w:bCs w:val="0"/>
          <w:color w:val="auto"/>
          <w:spacing w:val="0"/>
          <w:sz w:val="32"/>
          <w:szCs w:val="32"/>
          <w:highlight w:val="none"/>
          <w:lang w:val="en-US" w:eastAsia="zh-CN"/>
        </w:rPr>
        <w:t>2026年高新区预算如下：</w:t>
      </w:r>
    </w:p>
    <w:p w14:paraId="607D8E7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楷体_GB2312" w:cs="Times New Roman"/>
          <w:b/>
          <w:bCs/>
          <w:color w:val="auto"/>
          <w:sz w:val="32"/>
          <w:szCs w:val="32"/>
          <w:highlight w:val="none"/>
          <w:lang w:eastAsia="zh-CN"/>
        </w:rPr>
      </w:pPr>
      <w:r>
        <w:rPr>
          <w:rFonts w:hint="eastAsia" w:ascii="Times New Roman" w:hAnsi="Times New Roman" w:eastAsia="楷体_GB2312" w:cs="Times New Roman"/>
          <w:b/>
          <w:bCs/>
          <w:color w:val="auto"/>
          <w:sz w:val="32"/>
          <w:szCs w:val="32"/>
          <w:highlight w:val="none"/>
          <w:lang w:eastAsia="zh-CN"/>
        </w:rPr>
        <w:t>（</w:t>
      </w:r>
      <w:r>
        <w:rPr>
          <w:rFonts w:hint="eastAsia" w:ascii="Times New Roman" w:hAnsi="Times New Roman" w:eastAsia="楷体_GB2312" w:cs="Times New Roman"/>
          <w:b/>
          <w:bCs/>
          <w:color w:val="auto"/>
          <w:sz w:val="32"/>
          <w:szCs w:val="32"/>
          <w:highlight w:val="none"/>
          <w:lang w:val="en-US" w:eastAsia="zh-CN"/>
        </w:rPr>
        <w:t>一</w:t>
      </w:r>
      <w:r>
        <w:rPr>
          <w:rFonts w:hint="eastAsia" w:ascii="Times New Roman" w:hAnsi="Times New Roman" w:eastAsia="楷体_GB2312" w:cs="Times New Roman"/>
          <w:b/>
          <w:bCs/>
          <w:color w:val="auto"/>
          <w:sz w:val="32"/>
          <w:szCs w:val="32"/>
          <w:highlight w:val="none"/>
          <w:lang w:eastAsia="zh-CN"/>
        </w:rPr>
        <w:t>）一般公共预算收支安排情况</w:t>
      </w:r>
    </w:p>
    <w:p w14:paraId="14FBA5C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cs="仿宋_GB2312"/>
          <w:color w:val="auto"/>
          <w:sz w:val="32"/>
          <w:szCs w:val="32"/>
          <w:highlight w:val="none"/>
          <w:lang w:val="en-US" w:eastAsia="zh-CN"/>
        </w:rPr>
        <w:t>2026</w:t>
      </w:r>
      <w:r>
        <w:rPr>
          <w:rFonts w:hint="eastAsia" w:ascii="仿宋_GB2312" w:hAnsi="仿宋_GB2312" w:cs="仿宋_GB2312"/>
          <w:color w:val="auto"/>
          <w:sz w:val="32"/>
          <w:szCs w:val="32"/>
          <w:highlight w:val="none"/>
          <w:lang w:eastAsia="zh-CN"/>
        </w:rPr>
        <w:t>年</w:t>
      </w:r>
      <w:r>
        <w:rPr>
          <w:rFonts w:hint="eastAsia" w:ascii="仿宋_GB2312" w:hAnsi="仿宋_GB2312" w:cs="仿宋_GB2312"/>
          <w:color w:val="auto"/>
          <w:sz w:val="32"/>
          <w:szCs w:val="32"/>
          <w:highlight w:val="none"/>
          <w:lang w:val="en-US" w:eastAsia="zh-CN"/>
        </w:rPr>
        <w:t>高新区</w:t>
      </w:r>
      <w:r>
        <w:rPr>
          <w:rFonts w:hint="eastAsia" w:ascii="仿宋_GB2312" w:hAnsi="仿宋_GB2312" w:eastAsia="仿宋_GB2312" w:cs="仿宋_GB2312"/>
          <w:color w:val="auto"/>
          <w:sz w:val="32"/>
          <w:szCs w:val="32"/>
          <w:highlight w:val="none"/>
        </w:rPr>
        <w:t>一般公共预算收入预期目标</w:t>
      </w:r>
      <w:r>
        <w:rPr>
          <w:rFonts w:hint="eastAsia" w:ascii="仿宋_GB2312" w:hAnsi="仿宋_GB2312" w:cs="仿宋_GB2312"/>
          <w:color w:val="auto"/>
          <w:sz w:val="32"/>
          <w:szCs w:val="32"/>
          <w:highlight w:val="none"/>
          <w:lang w:val="en-US" w:eastAsia="zh-CN"/>
        </w:rPr>
        <w:t>3.21</w:t>
      </w:r>
      <w:r>
        <w:rPr>
          <w:rFonts w:hint="eastAsia" w:ascii="仿宋_GB2312" w:hAnsi="仿宋_GB2312" w:eastAsia="仿宋_GB2312" w:cs="仿宋_GB2312"/>
          <w:color w:val="auto"/>
          <w:sz w:val="32"/>
          <w:szCs w:val="32"/>
          <w:highlight w:val="none"/>
        </w:rPr>
        <w:t>亿元。一般公共预算收入加上</w:t>
      </w:r>
      <w:r>
        <w:rPr>
          <w:rFonts w:hint="eastAsia" w:ascii="仿宋_GB2312" w:hAnsi="仿宋_GB2312" w:cs="仿宋_GB2312"/>
          <w:color w:val="auto"/>
          <w:sz w:val="32"/>
          <w:szCs w:val="32"/>
          <w:highlight w:val="none"/>
          <w:lang w:eastAsia="zh-CN"/>
        </w:rPr>
        <w:t>市级</w:t>
      </w:r>
      <w:r>
        <w:rPr>
          <w:rFonts w:hint="eastAsia" w:ascii="仿宋_GB2312" w:hAnsi="仿宋_GB2312" w:eastAsia="仿宋_GB2312" w:cs="仿宋_GB2312"/>
          <w:color w:val="auto"/>
          <w:sz w:val="32"/>
          <w:szCs w:val="32"/>
          <w:highlight w:val="none"/>
        </w:rPr>
        <w:t>提前下达补助、调入资金、动用预算稳定调节基金</w:t>
      </w:r>
      <w:r>
        <w:rPr>
          <w:rFonts w:hint="eastAsia" w:ascii="仿宋_GB2312" w:hAnsi="仿宋_GB2312" w:cs="仿宋_GB2312"/>
          <w:color w:val="auto"/>
          <w:sz w:val="32"/>
          <w:szCs w:val="32"/>
          <w:highlight w:val="none"/>
          <w:lang w:eastAsia="zh-CN"/>
        </w:rPr>
        <w:t>、上年结转</w:t>
      </w:r>
      <w:r>
        <w:rPr>
          <w:rFonts w:hint="eastAsia" w:ascii="仿宋_GB2312" w:hAnsi="仿宋_GB2312" w:eastAsia="仿宋_GB2312" w:cs="仿宋_GB2312"/>
          <w:color w:val="auto"/>
          <w:sz w:val="32"/>
          <w:szCs w:val="32"/>
          <w:highlight w:val="none"/>
        </w:rPr>
        <w:t>等，减去上解支出等，预算财力约为</w:t>
      </w:r>
      <w:r>
        <w:rPr>
          <w:rFonts w:hint="eastAsia" w:ascii="仿宋_GB2312" w:hAnsi="仿宋_GB2312" w:cs="仿宋_GB2312"/>
          <w:color w:val="auto"/>
          <w:sz w:val="32"/>
          <w:szCs w:val="32"/>
          <w:highlight w:val="none"/>
          <w:lang w:val="en-US" w:eastAsia="zh-CN"/>
        </w:rPr>
        <w:t>5.24</w:t>
      </w:r>
      <w:r>
        <w:rPr>
          <w:rFonts w:hint="eastAsia" w:ascii="仿宋_GB2312" w:hAnsi="仿宋_GB2312" w:eastAsia="仿宋_GB2312" w:cs="仿宋_GB2312"/>
          <w:color w:val="auto"/>
          <w:sz w:val="32"/>
          <w:szCs w:val="32"/>
          <w:highlight w:val="none"/>
        </w:rPr>
        <w:t>亿元。据此，</w:t>
      </w:r>
      <w:r>
        <w:rPr>
          <w:rFonts w:hint="eastAsia" w:ascii="仿宋_GB2312" w:hAnsi="仿宋_GB2312" w:cs="仿宋_GB2312"/>
          <w:color w:val="auto"/>
          <w:sz w:val="32"/>
          <w:szCs w:val="32"/>
          <w:highlight w:val="none"/>
          <w:lang w:val="en-US" w:eastAsia="zh-CN"/>
        </w:rPr>
        <w:t>2026年区级</w:t>
      </w:r>
      <w:r>
        <w:rPr>
          <w:rFonts w:hint="eastAsia" w:ascii="仿宋_GB2312" w:hAnsi="仿宋_GB2312" w:eastAsia="仿宋_GB2312" w:cs="仿宋_GB2312"/>
          <w:color w:val="auto"/>
          <w:sz w:val="32"/>
          <w:szCs w:val="32"/>
          <w:highlight w:val="none"/>
        </w:rPr>
        <w:t>一般公共预算支出安排</w:t>
      </w:r>
      <w:r>
        <w:rPr>
          <w:rFonts w:hint="eastAsia" w:ascii="仿宋_GB2312" w:hAnsi="仿宋_GB2312" w:cs="仿宋_GB2312"/>
          <w:color w:val="auto"/>
          <w:sz w:val="32"/>
          <w:szCs w:val="32"/>
          <w:highlight w:val="none"/>
          <w:lang w:val="en-US" w:eastAsia="zh-CN"/>
        </w:rPr>
        <w:t>5.24</w:t>
      </w:r>
      <w:bookmarkStart w:id="1" w:name="_GoBack"/>
      <w:bookmarkEnd w:id="1"/>
      <w:r>
        <w:rPr>
          <w:rFonts w:hint="eastAsia" w:ascii="仿宋_GB2312" w:hAnsi="仿宋_GB2312" w:eastAsia="仿宋_GB2312" w:cs="仿宋_GB2312"/>
          <w:color w:val="auto"/>
          <w:sz w:val="32"/>
          <w:szCs w:val="32"/>
          <w:highlight w:val="none"/>
        </w:rPr>
        <w:t>亿元，预算收支平衡。</w:t>
      </w:r>
    </w:p>
    <w:p w14:paraId="4BFF214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楷体_GB2312" w:cs="Times New Roman"/>
          <w:b/>
          <w:bCs/>
          <w:color w:val="auto"/>
          <w:sz w:val="32"/>
          <w:szCs w:val="32"/>
          <w:highlight w:val="none"/>
          <w:lang w:eastAsia="zh-CN"/>
        </w:rPr>
      </w:pPr>
      <w:r>
        <w:rPr>
          <w:rFonts w:hint="eastAsia" w:ascii="Times New Roman" w:hAnsi="Times New Roman" w:eastAsia="楷体_GB2312" w:cs="Times New Roman"/>
          <w:b/>
          <w:bCs/>
          <w:color w:val="auto"/>
          <w:sz w:val="32"/>
          <w:szCs w:val="32"/>
          <w:highlight w:val="none"/>
          <w:lang w:eastAsia="zh-CN"/>
        </w:rPr>
        <w:t>（</w:t>
      </w:r>
      <w:r>
        <w:rPr>
          <w:rFonts w:hint="eastAsia" w:ascii="Times New Roman" w:hAnsi="Times New Roman" w:eastAsia="楷体_GB2312" w:cs="Times New Roman"/>
          <w:b/>
          <w:bCs/>
          <w:color w:val="auto"/>
          <w:sz w:val="32"/>
          <w:szCs w:val="32"/>
          <w:highlight w:val="none"/>
          <w:lang w:val="en-US" w:eastAsia="zh-CN"/>
        </w:rPr>
        <w:t>二</w:t>
      </w:r>
      <w:r>
        <w:rPr>
          <w:rFonts w:hint="eastAsia" w:ascii="Times New Roman" w:hAnsi="Times New Roman" w:eastAsia="楷体_GB2312" w:cs="Times New Roman"/>
          <w:b/>
          <w:bCs/>
          <w:color w:val="auto"/>
          <w:sz w:val="32"/>
          <w:szCs w:val="32"/>
          <w:highlight w:val="none"/>
          <w:lang w:eastAsia="zh-CN"/>
        </w:rPr>
        <w:t>）政府性基金预算收支安排情况</w:t>
      </w:r>
    </w:p>
    <w:p w14:paraId="5114794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cs="仿宋_GB2312"/>
          <w:color w:val="auto"/>
          <w:sz w:val="32"/>
          <w:szCs w:val="32"/>
          <w:highlight w:val="none"/>
          <w:lang w:val="en-US" w:eastAsia="zh-CN"/>
        </w:rPr>
        <w:t>2026</w:t>
      </w:r>
      <w:r>
        <w:rPr>
          <w:rFonts w:hint="eastAsia" w:ascii="仿宋_GB2312" w:hAnsi="仿宋_GB2312" w:cs="仿宋_GB2312"/>
          <w:color w:val="auto"/>
          <w:sz w:val="32"/>
          <w:szCs w:val="32"/>
          <w:highlight w:val="none"/>
          <w:lang w:eastAsia="zh-CN"/>
        </w:rPr>
        <w:t>年</w:t>
      </w:r>
      <w:r>
        <w:rPr>
          <w:rFonts w:hint="eastAsia" w:ascii="仿宋_GB2312" w:hAnsi="仿宋_GB2312" w:cs="仿宋_GB2312"/>
          <w:color w:val="auto"/>
          <w:sz w:val="32"/>
          <w:szCs w:val="32"/>
          <w:highlight w:val="none"/>
          <w:lang w:val="en-US" w:eastAsia="zh-CN"/>
        </w:rPr>
        <w:t>高新区</w:t>
      </w:r>
      <w:r>
        <w:rPr>
          <w:rFonts w:hint="eastAsia" w:ascii="仿宋_GB2312" w:hAnsi="仿宋_GB2312" w:eastAsia="仿宋_GB2312" w:cs="仿宋_GB2312"/>
          <w:color w:val="auto"/>
          <w:sz w:val="32"/>
          <w:szCs w:val="32"/>
          <w:highlight w:val="none"/>
        </w:rPr>
        <w:t>政府性基金预算收入预期目标</w:t>
      </w:r>
      <w:r>
        <w:rPr>
          <w:rFonts w:hint="eastAsia" w:ascii="仿宋_GB2312" w:hAnsi="仿宋_GB2312" w:cs="仿宋_GB2312"/>
          <w:color w:val="auto"/>
          <w:sz w:val="32"/>
          <w:szCs w:val="32"/>
          <w:highlight w:val="none"/>
          <w:lang w:val="en-US" w:eastAsia="zh-CN"/>
        </w:rPr>
        <w:t>10.32</w:t>
      </w:r>
      <w:r>
        <w:rPr>
          <w:rFonts w:hint="eastAsia" w:ascii="仿宋_GB2312" w:hAnsi="仿宋_GB2312" w:eastAsia="仿宋_GB2312" w:cs="仿宋_GB2312"/>
          <w:color w:val="auto"/>
          <w:sz w:val="32"/>
          <w:szCs w:val="32"/>
          <w:highlight w:val="none"/>
        </w:rPr>
        <w:t>亿元。政府性基金预算收入加上</w:t>
      </w:r>
      <w:r>
        <w:rPr>
          <w:rFonts w:hint="eastAsia" w:ascii="仿宋_GB2312" w:hAnsi="仿宋_GB2312" w:cs="仿宋_GB2312"/>
          <w:color w:val="auto"/>
          <w:sz w:val="32"/>
          <w:szCs w:val="32"/>
          <w:highlight w:val="none"/>
          <w:lang w:eastAsia="zh-CN"/>
        </w:rPr>
        <w:t>市级</w:t>
      </w:r>
      <w:r>
        <w:rPr>
          <w:rFonts w:hint="eastAsia" w:ascii="仿宋_GB2312" w:hAnsi="仿宋_GB2312" w:eastAsia="仿宋_GB2312" w:cs="仿宋_GB2312"/>
          <w:color w:val="auto"/>
          <w:sz w:val="32"/>
          <w:szCs w:val="32"/>
          <w:highlight w:val="none"/>
        </w:rPr>
        <w:t>提前下达补助、上年结转等，减去上解支出、调出资金等，预算财力约为</w:t>
      </w:r>
      <w:r>
        <w:rPr>
          <w:rFonts w:hint="eastAsia" w:ascii="仿宋_GB2312" w:hAnsi="仿宋_GB2312" w:cs="仿宋_GB2312"/>
          <w:color w:val="auto"/>
          <w:sz w:val="32"/>
          <w:szCs w:val="32"/>
          <w:highlight w:val="none"/>
          <w:lang w:val="en-US" w:eastAsia="zh-CN"/>
        </w:rPr>
        <w:t>10.8</w:t>
      </w:r>
      <w:r>
        <w:rPr>
          <w:rFonts w:hint="eastAsia" w:ascii="仿宋_GB2312" w:hAnsi="仿宋_GB2312" w:eastAsia="仿宋_GB2312" w:cs="仿宋_GB2312"/>
          <w:color w:val="auto"/>
          <w:sz w:val="32"/>
          <w:szCs w:val="32"/>
          <w:highlight w:val="none"/>
        </w:rPr>
        <w:t>亿元。据此，</w:t>
      </w:r>
      <w:r>
        <w:rPr>
          <w:rFonts w:hint="eastAsia" w:ascii="仿宋_GB2312" w:hAnsi="仿宋_GB2312" w:cs="仿宋_GB2312"/>
          <w:color w:val="auto"/>
          <w:sz w:val="32"/>
          <w:szCs w:val="32"/>
          <w:highlight w:val="none"/>
          <w:lang w:val="en-US" w:eastAsia="zh-CN"/>
        </w:rPr>
        <w:t>2026</w:t>
      </w:r>
      <w:r>
        <w:rPr>
          <w:rFonts w:hint="eastAsia" w:ascii="仿宋_GB2312" w:hAnsi="仿宋_GB2312" w:cs="仿宋_GB2312"/>
          <w:color w:val="auto"/>
          <w:sz w:val="32"/>
          <w:szCs w:val="32"/>
          <w:highlight w:val="none"/>
          <w:lang w:eastAsia="zh-CN"/>
        </w:rPr>
        <w:t>年</w:t>
      </w:r>
      <w:r>
        <w:rPr>
          <w:rFonts w:hint="eastAsia" w:ascii="仿宋_GB2312" w:hAnsi="仿宋_GB2312" w:cs="仿宋_GB2312"/>
          <w:color w:val="auto"/>
          <w:sz w:val="32"/>
          <w:szCs w:val="32"/>
          <w:highlight w:val="none"/>
          <w:lang w:val="en-US" w:eastAsia="zh-CN"/>
        </w:rPr>
        <w:t>高新区</w:t>
      </w:r>
      <w:r>
        <w:rPr>
          <w:rFonts w:hint="eastAsia" w:ascii="仿宋_GB2312" w:hAnsi="仿宋_GB2312" w:eastAsia="仿宋_GB2312" w:cs="仿宋_GB2312"/>
          <w:color w:val="auto"/>
          <w:sz w:val="32"/>
          <w:szCs w:val="32"/>
          <w:highlight w:val="none"/>
        </w:rPr>
        <w:t>政府性基金预算支出安排</w:t>
      </w:r>
      <w:r>
        <w:rPr>
          <w:rFonts w:hint="eastAsia" w:ascii="仿宋_GB2312" w:hAnsi="仿宋_GB2312" w:cs="仿宋_GB2312"/>
          <w:color w:val="auto"/>
          <w:sz w:val="32"/>
          <w:szCs w:val="32"/>
          <w:highlight w:val="none"/>
          <w:lang w:val="en-US" w:eastAsia="zh-CN"/>
        </w:rPr>
        <w:t>10.8</w:t>
      </w:r>
      <w:r>
        <w:rPr>
          <w:rFonts w:hint="eastAsia" w:ascii="仿宋_GB2312" w:hAnsi="仿宋_GB2312" w:eastAsia="仿宋_GB2312" w:cs="仿宋_GB2312"/>
          <w:color w:val="auto"/>
          <w:sz w:val="32"/>
          <w:szCs w:val="32"/>
          <w:highlight w:val="none"/>
        </w:rPr>
        <w:t>亿元，预算收支平衡。</w:t>
      </w:r>
    </w:p>
    <w:p w14:paraId="0C904B4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楷体_GB2312" w:cs="Times New Roman"/>
          <w:b/>
          <w:bCs/>
          <w:color w:val="auto"/>
          <w:sz w:val="32"/>
          <w:szCs w:val="32"/>
          <w:highlight w:val="none"/>
          <w:lang w:eastAsia="zh-CN"/>
        </w:rPr>
      </w:pPr>
      <w:r>
        <w:rPr>
          <w:rFonts w:hint="eastAsia" w:eastAsia="楷体_GB2312" w:cs="Times New Roman"/>
          <w:b/>
          <w:bCs/>
          <w:color w:val="auto"/>
          <w:sz w:val="32"/>
          <w:szCs w:val="32"/>
          <w:highlight w:val="none"/>
          <w:lang w:eastAsia="zh-CN"/>
        </w:rPr>
        <w:t>（三）</w:t>
      </w:r>
      <w:r>
        <w:rPr>
          <w:rFonts w:hint="eastAsia" w:ascii="Times New Roman" w:hAnsi="Times New Roman" w:eastAsia="楷体_GB2312" w:cs="Times New Roman"/>
          <w:b/>
          <w:bCs/>
          <w:color w:val="auto"/>
          <w:sz w:val="32"/>
          <w:szCs w:val="32"/>
          <w:highlight w:val="none"/>
          <w:lang w:eastAsia="zh-CN"/>
        </w:rPr>
        <w:t>社会保险基金预算收支安排情况</w:t>
      </w:r>
    </w:p>
    <w:p w14:paraId="2DAC85E6">
      <w:pPr>
        <w:spacing w:line="560" w:lineRule="exact"/>
        <w:ind w:firstLine="640" w:firstLineChars="200"/>
        <w:rPr>
          <w:rFonts w:hint="default" w:eastAsia="仿宋_GB2312"/>
          <w:color w:val="auto"/>
          <w:highlight w:val="none"/>
          <w:lang w:val="en-US" w:eastAsia="zh-CN"/>
        </w:rPr>
      </w:pPr>
      <w:r>
        <w:rPr>
          <w:rFonts w:hint="eastAsia"/>
          <w:color w:val="auto"/>
          <w:highlight w:val="none"/>
          <w:lang w:val="en-US" w:eastAsia="zh-CN"/>
        </w:rPr>
        <w:t xml:space="preserve"> </w:t>
      </w:r>
      <w:r>
        <w:rPr>
          <w:rFonts w:hint="eastAsia" w:ascii="仿宋_GB2312" w:hAnsi="仿宋_GB2312" w:eastAsia="仿宋_GB2312" w:cs="仿宋_GB2312"/>
          <w:color w:val="auto"/>
          <w:sz w:val="32"/>
          <w:szCs w:val="32"/>
          <w:highlight w:val="none"/>
        </w:rPr>
        <w:t>社会保险基金预算方面，由于作为市政府派出机构，高新区无独立社会保险基金，相关社保基金均同于其他市直部门缴纳至市社保部门，故暂不具备单独编制社保基金预算条件。</w:t>
      </w:r>
    </w:p>
    <w:p w14:paraId="45576F0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eastAsia="楷体_GB2312" w:cs="Times New Roman"/>
          <w:b/>
          <w:bCs/>
          <w:color w:val="auto"/>
          <w:sz w:val="32"/>
          <w:szCs w:val="32"/>
          <w:highlight w:val="none"/>
          <w:lang w:eastAsia="zh-CN"/>
        </w:rPr>
      </w:pPr>
      <w:r>
        <w:rPr>
          <w:rFonts w:hint="eastAsia" w:eastAsia="楷体_GB2312" w:cs="Times New Roman"/>
          <w:b/>
          <w:bCs/>
          <w:color w:val="auto"/>
          <w:sz w:val="32"/>
          <w:szCs w:val="32"/>
          <w:highlight w:val="none"/>
          <w:lang w:eastAsia="zh-CN"/>
        </w:rPr>
        <w:t>（</w:t>
      </w:r>
      <w:r>
        <w:rPr>
          <w:rFonts w:hint="eastAsia" w:eastAsia="楷体_GB2312" w:cs="Times New Roman"/>
          <w:b/>
          <w:bCs/>
          <w:color w:val="auto"/>
          <w:sz w:val="32"/>
          <w:szCs w:val="32"/>
          <w:highlight w:val="none"/>
          <w:lang w:val="en-US" w:eastAsia="zh-CN"/>
        </w:rPr>
        <w:t>四</w:t>
      </w:r>
      <w:r>
        <w:rPr>
          <w:rFonts w:hint="eastAsia" w:eastAsia="楷体_GB2312" w:cs="Times New Roman"/>
          <w:b/>
          <w:bCs/>
          <w:color w:val="auto"/>
          <w:sz w:val="32"/>
          <w:szCs w:val="32"/>
          <w:highlight w:val="none"/>
          <w:lang w:eastAsia="zh-CN"/>
        </w:rPr>
        <w:t>）国有资本经营预算收支安排情况</w:t>
      </w:r>
    </w:p>
    <w:p w14:paraId="6193159C">
      <w:pPr>
        <w:spacing w:line="560" w:lineRule="exact"/>
        <w:ind w:firstLine="640" w:firstLineChars="200"/>
        <w:rPr>
          <w:rFonts w:hint="eastAsia" w:ascii="仿宋_GB2312" w:hAnsi="仿宋_GB2312" w:eastAsia="仿宋_GB2312" w:cs="仿宋_GB2312"/>
          <w:b w:val="0"/>
          <w:color w:val="auto"/>
          <w:kern w:val="2"/>
          <w:sz w:val="32"/>
          <w:szCs w:val="32"/>
          <w:highlight w:val="none"/>
          <w:lang w:val="en-US" w:eastAsia="zh-CN" w:bidi="ar-SA"/>
        </w:rPr>
      </w:pPr>
      <w:r>
        <w:rPr>
          <w:rFonts w:hint="eastAsia" w:ascii="仿宋_GB2312" w:hAnsi="仿宋_GB2312" w:eastAsia="仿宋_GB2312" w:cs="仿宋_GB2312"/>
          <w:b w:val="0"/>
          <w:color w:val="auto"/>
          <w:kern w:val="2"/>
          <w:sz w:val="32"/>
          <w:szCs w:val="32"/>
          <w:highlight w:val="none"/>
          <w:lang w:val="en-US" w:eastAsia="zh-CN" w:bidi="ar-SA"/>
        </w:rPr>
        <w:t>根据《国务院关于进一步深化预算管理制度改革的意见》（国发〔2021〕5号）和《江西省人民政府关于进一步完善全省国有资本经营预算制度的意见》（赣府发〔2024〕5号）文件“经本级人大及其常委会批准，国有资本规模较小或国有企业数量较少的市县可以不编制国有资本经营预算”规定，我区国有资本收支规模一直较小，为规范预算编制，经报请市人大和市财政局同意后，我区自2024年开始不单独编制国有资本经营预算，将国有资本经营预算收支纳入一般公共预算统一核算。</w:t>
      </w:r>
    </w:p>
    <w:p w14:paraId="35ED7B89">
      <w:pPr>
        <w:keepNext w:val="0"/>
        <w:keepLines w:val="0"/>
        <w:pageBreakBefore w:val="0"/>
        <w:widowControl/>
        <w:numPr>
          <w:ilvl w:val="0"/>
          <w:numId w:val="2"/>
        </w:numPr>
        <w:kinsoku/>
        <w:wordWrap/>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黑体" w:cs="楷体_GB2312"/>
          <w:b/>
          <w:bCs/>
          <w:color w:val="auto"/>
          <w:sz w:val="32"/>
          <w:szCs w:val="32"/>
          <w:highlight w:val="none"/>
          <w:lang w:val="en-US" w:eastAsia="zh-CN"/>
        </w:rPr>
      </w:pPr>
      <w:r>
        <w:rPr>
          <w:rFonts w:hint="eastAsia" w:ascii="Times New Roman" w:hAnsi="Times New Roman" w:eastAsia="黑体" w:cs="楷体_GB2312"/>
          <w:b/>
          <w:bCs/>
          <w:color w:val="auto"/>
          <w:sz w:val="32"/>
          <w:szCs w:val="32"/>
          <w:highlight w:val="none"/>
          <w:lang w:val="en-US" w:eastAsia="zh-CN"/>
        </w:rPr>
        <w:t>认真做好</w:t>
      </w:r>
      <w:r>
        <w:rPr>
          <w:rFonts w:hint="eastAsia" w:eastAsia="黑体" w:cs="楷体_GB2312"/>
          <w:b/>
          <w:bCs/>
          <w:color w:val="auto"/>
          <w:sz w:val="32"/>
          <w:szCs w:val="32"/>
          <w:highlight w:val="none"/>
          <w:lang w:val="en-US" w:eastAsia="zh-CN"/>
        </w:rPr>
        <w:t>2026</w:t>
      </w:r>
      <w:r>
        <w:rPr>
          <w:rFonts w:hint="eastAsia" w:ascii="Times New Roman" w:hAnsi="Times New Roman" w:eastAsia="黑体" w:cs="楷体_GB2312"/>
          <w:b/>
          <w:bCs/>
          <w:color w:val="auto"/>
          <w:sz w:val="32"/>
          <w:szCs w:val="32"/>
          <w:highlight w:val="none"/>
          <w:lang w:val="en-US" w:eastAsia="zh-CN"/>
        </w:rPr>
        <w:t>年财政各项工作</w:t>
      </w:r>
    </w:p>
    <w:p w14:paraId="06BF3E07">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黑体" w:cs="楷体_GB2312"/>
          <w:b w:val="0"/>
          <w:bCs w:val="0"/>
          <w:color w:val="auto"/>
          <w:sz w:val="32"/>
          <w:szCs w:val="32"/>
          <w:highlight w:val="none"/>
          <w:lang w:val="en-US" w:eastAsia="zh-CN"/>
        </w:rPr>
      </w:pPr>
      <w:r>
        <w:rPr>
          <w:rFonts w:hint="eastAsia" w:ascii="仿宋_GB2312" w:hAnsi="仿宋_GB2312" w:cs="仿宋_GB2312"/>
          <w:b w:val="0"/>
          <w:bCs w:val="0"/>
          <w:color w:val="auto"/>
          <w:sz w:val="32"/>
          <w:szCs w:val="32"/>
          <w:highlight w:val="none"/>
          <w:lang w:val="en-US" w:eastAsia="zh-CN"/>
        </w:rPr>
        <w:t>2026</w:t>
      </w:r>
      <w:r>
        <w:rPr>
          <w:rFonts w:hint="eastAsia" w:ascii="仿宋_GB2312" w:hAnsi="仿宋_GB2312" w:eastAsia="仿宋_GB2312" w:cs="仿宋_GB2312"/>
          <w:b w:val="0"/>
          <w:bCs w:val="0"/>
          <w:color w:val="auto"/>
          <w:sz w:val="32"/>
          <w:szCs w:val="32"/>
          <w:highlight w:val="none"/>
          <w:lang w:val="en-US" w:eastAsia="zh-CN"/>
        </w:rPr>
        <w:t>年</w:t>
      </w:r>
      <w:r>
        <w:rPr>
          <w:rFonts w:hint="eastAsia" w:ascii="仿宋_GB2312" w:hAnsi="仿宋_GB2312" w:cs="仿宋_GB2312"/>
          <w:b w:val="0"/>
          <w:bCs w:val="0"/>
          <w:color w:val="auto"/>
          <w:sz w:val="32"/>
          <w:szCs w:val="32"/>
          <w:highlight w:val="none"/>
          <w:lang w:val="en-US" w:eastAsia="zh-CN"/>
        </w:rPr>
        <w:t>，高新区</w:t>
      </w:r>
      <w:r>
        <w:rPr>
          <w:rFonts w:hint="eastAsia" w:ascii="仿宋_GB2312" w:hAnsi="仿宋_GB2312" w:eastAsia="仿宋_GB2312" w:cs="仿宋_GB2312"/>
          <w:b w:val="0"/>
          <w:bCs w:val="0"/>
          <w:color w:val="auto"/>
          <w:sz w:val="32"/>
          <w:szCs w:val="32"/>
          <w:highlight w:val="none"/>
          <w:lang w:val="en-US" w:eastAsia="zh-CN"/>
        </w:rPr>
        <w:t>将</w:t>
      </w:r>
      <w:r>
        <w:rPr>
          <w:rFonts w:hint="eastAsia" w:ascii="仿宋_GB2312" w:hAnsi="仿宋_GB2312" w:cs="仿宋_GB2312"/>
          <w:b w:val="0"/>
          <w:bCs w:val="0"/>
          <w:color w:val="auto"/>
          <w:sz w:val="32"/>
          <w:szCs w:val="32"/>
          <w:highlight w:val="none"/>
          <w:lang w:val="en-US" w:eastAsia="zh-CN"/>
        </w:rPr>
        <w:t>继续</w:t>
      </w:r>
      <w:r>
        <w:rPr>
          <w:rFonts w:hint="eastAsia" w:ascii="仿宋_GB2312" w:hAnsi="仿宋_GB2312" w:eastAsia="仿宋_GB2312" w:cs="仿宋_GB2312"/>
          <w:b w:val="0"/>
          <w:bCs w:val="0"/>
          <w:color w:val="auto"/>
          <w:sz w:val="32"/>
          <w:szCs w:val="32"/>
          <w:highlight w:val="none"/>
          <w:lang w:val="en-US" w:eastAsia="zh-CN"/>
        </w:rPr>
        <w:t>认真贯彻党中央和省、市决策部署，落实人大预算审查意见，</w:t>
      </w:r>
      <w:r>
        <w:rPr>
          <w:rFonts w:hint="eastAsia" w:ascii="仿宋_GB2312" w:hAnsi="仿宋_GB2312" w:cs="仿宋_GB2312"/>
          <w:b w:val="0"/>
          <w:bCs w:val="0"/>
          <w:color w:val="auto"/>
          <w:sz w:val="32"/>
          <w:szCs w:val="32"/>
          <w:highlight w:val="none"/>
          <w:lang w:val="en-US" w:eastAsia="zh-CN"/>
        </w:rPr>
        <w:t>贯彻落实</w:t>
      </w:r>
      <w:r>
        <w:rPr>
          <w:rFonts w:hint="eastAsia" w:ascii="仿宋_GB2312" w:hAnsi="仿宋_GB2312" w:eastAsia="仿宋_GB2312" w:cs="仿宋_GB2312"/>
          <w:b w:val="0"/>
          <w:bCs w:val="0"/>
          <w:color w:val="auto"/>
          <w:sz w:val="32"/>
          <w:szCs w:val="32"/>
          <w:highlight w:val="none"/>
          <w:lang w:val="en-US" w:eastAsia="zh-CN"/>
        </w:rPr>
        <w:t>“平衡收支、防范风险、支持产业、谋划改革”的长期财政工作总思路，</w:t>
      </w:r>
      <w:r>
        <w:rPr>
          <w:rFonts w:hint="eastAsia" w:ascii="仿宋_GB2312" w:hAnsi="仿宋_GB2312" w:eastAsia="仿宋_GB2312" w:cs="仿宋_GB2312"/>
          <w:b w:val="0"/>
          <w:bCs w:val="0"/>
          <w:color w:val="auto"/>
          <w:highlight w:val="none"/>
        </w:rPr>
        <w:t>守正创新</w:t>
      </w:r>
      <w:r>
        <w:rPr>
          <w:rFonts w:hint="eastAsia" w:ascii="仿宋_GB2312" w:hAnsi="仿宋_GB2312" w:cs="仿宋_GB2312"/>
          <w:b w:val="0"/>
          <w:bCs w:val="0"/>
          <w:color w:val="auto"/>
          <w:highlight w:val="none"/>
          <w:lang w:eastAsia="zh-CN"/>
        </w:rPr>
        <w:t>，担当作为，履职尽责，</w:t>
      </w:r>
      <w:r>
        <w:rPr>
          <w:rFonts w:hint="eastAsia" w:ascii="仿宋_GB2312" w:hAnsi="仿宋_GB2312" w:eastAsia="仿宋_GB2312" w:cs="仿宋_GB2312"/>
          <w:b w:val="0"/>
          <w:bCs w:val="0"/>
          <w:color w:val="auto"/>
          <w:highlight w:val="none"/>
        </w:rPr>
        <w:t>稳中求进，</w:t>
      </w:r>
      <w:r>
        <w:rPr>
          <w:rFonts w:hint="eastAsia" w:ascii="仿宋_GB2312" w:hAnsi="仿宋_GB2312" w:eastAsia="仿宋_GB2312" w:cs="仿宋_GB2312"/>
          <w:b w:val="0"/>
          <w:bCs w:val="0"/>
          <w:color w:val="auto"/>
          <w:sz w:val="32"/>
          <w:szCs w:val="32"/>
          <w:highlight w:val="none"/>
          <w:lang w:val="en-US" w:eastAsia="zh-CN"/>
        </w:rPr>
        <w:t>确保完成全年预算目标任务，重点做好以下</w:t>
      </w:r>
      <w:r>
        <w:rPr>
          <w:rFonts w:hint="eastAsia" w:ascii="仿宋_GB2312" w:hAnsi="仿宋_GB2312" w:cs="仿宋_GB2312"/>
          <w:b w:val="0"/>
          <w:bCs w:val="0"/>
          <w:color w:val="auto"/>
          <w:sz w:val="32"/>
          <w:szCs w:val="32"/>
          <w:highlight w:val="none"/>
          <w:lang w:val="en-US" w:eastAsia="zh-CN"/>
        </w:rPr>
        <w:t>几个</w:t>
      </w:r>
      <w:r>
        <w:rPr>
          <w:rFonts w:hint="eastAsia" w:ascii="仿宋_GB2312" w:hAnsi="仿宋_GB2312" w:eastAsia="仿宋_GB2312" w:cs="仿宋_GB2312"/>
          <w:b w:val="0"/>
          <w:bCs w:val="0"/>
          <w:color w:val="auto"/>
          <w:sz w:val="32"/>
          <w:szCs w:val="32"/>
          <w:highlight w:val="none"/>
          <w:lang w:val="en-US" w:eastAsia="zh-CN"/>
        </w:rPr>
        <w:t>方面的工作</w:t>
      </w:r>
      <w:r>
        <w:rPr>
          <w:rFonts w:hint="eastAsia" w:ascii="仿宋_GB2312" w:hAnsi="仿宋_GB2312" w:cs="仿宋_GB2312"/>
          <w:b w:val="0"/>
          <w:bCs w:val="0"/>
          <w:color w:val="auto"/>
          <w:sz w:val="32"/>
          <w:szCs w:val="32"/>
          <w:highlight w:val="none"/>
          <w:lang w:val="en-US" w:eastAsia="zh-CN"/>
        </w:rPr>
        <w:t>：</w:t>
      </w:r>
    </w:p>
    <w:p w14:paraId="2486A24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楷体_GB2312" w:cs="Times New Roman"/>
          <w:b/>
          <w:bCs/>
          <w:color w:val="auto"/>
          <w:sz w:val="32"/>
          <w:szCs w:val="32"/>
          <w:highlight w:val="none"/>
          <w:lang w:eastAsia="zh-CN"/>
        </w:rPr>
      </w:pPr>
      <w:r>
        <w:rPr>
          <w:rFonts w:hint="eastAsia" w:eastAsia="楷体_GB2312" w:cs="Times New Roman"/>
          <w:b/>
          <w:bCs/>
          <w:color w:val="auto"/>
          <w:sz w:val="32"/>
          <w:szCs w:val="32"/>
          <w:highlight w:val="none"/>
          <w:lang w:eastAsia="zh-CN"/>
        </w:rPr>
        <w:t>（一）</w:t>
      </w:r>
      <w:r>
        <w:rPr>
          <w:rFonts w:hint="eastAsia" w:ascii="Times New Roman" w:hAnsi="Times New Roman" w:eastAsia="楷体_GB2312" w:cs="Times New Roman"/>
          <w:b/>
          <w:bCs/>
          <w:color w:val="auto"/>
          <w:sz w:val="32"/>
          <w:szCs w:val="32"/>
          <w:highlight w:val="none"/>
          <w:lang w:eastAsia="zh-CN"/>
        </w:rPr>
        <w:t>培植税源和向上争资协同发力</w:t>
      </w:r>
    </w:p>
    <w:p w14:paraId="37B409B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color w:val="auto"/>
          <w:highlight w:val="none"/>
          <w:lang w:eastAsia="zh-CN"/>
        </w:rPr>
      </w:pPr>
      <w:r>
        <w:rPr>
          <w:rFonts w:hint="eastAsia"/>
          <w:b/>
          <w:bCs/>
          <w:color w:val="auto"/>
          <w:highlight w:val="none"/>
          <w:lang w:eastAsia="zh-CN"/>
        </w:rPr>
        <w:t>全力组织财政收入。</w:t>
      </w:r>
      <w:r>
        <w:rPr>
          <w:rFonts w:hint="eastAsia"/>
          <w:b w:val="0"/>
          <w:bCs w:val="0"/>
          <w:color w:val="auto"/>
          <w:highlight w:val="none"/>
          <w:lang w:eastAsia="zh-CN"/>
        </w:rPr>
        <w:t>坚持稳存量、育增量，提质量，打好有力有效的政策“组合拳”。抓实抓细</w:t>
      </w:r>
      <w:r>
        <w:rPr>
          <w:rFonts w:hint="eastAsia"/>
          <w:color w:val="auto"/>
          <w:highlight w:val="none"/>
          <w:lang w:eastAsia="zh-CN"/>
        </w:rPr>
        <w:t>收入组织工作。进一步加强与税务部门沟通协调，科学预判宏观经济形势，深入挖掘收入来源，做到依法征收、应收尽收；</w:t>
      </w:r>
      <w:r>
        <w:rPr>
          <w:rFonts w:hint="eastAsia" w:ascii="方正仿宋_GB2312" w:hAnsi="方正仿宋_GB2312" w:eastAsia="方正仿宋_GB2312" w:cs="方正仿宋_GB2312"/>
          <w:b w:val="0"/>
          <w:bCs w:val="0"/>
          <w:color w:val="auto"/>
          <w:kern w:val="2"/>
          <w:sz w:val="32"/>
          <w:szCs w:val="32"/>
          <w:highlight w:val="none"/>
          <w:lang w:val="en-US" w:eastAsia="zh-CN" w:bidi="ar-SA"/>
        </w:rPr>
        <w:t>综合运用减税降费、产业政策等多种政策工具，提振市场主体信心和积极性，激发收入增长和经济发展的内生动力，力争圆满完成年度收入目标。</w:t>
      </w:r>
    </w:p>
    <w:p w14:paraId="0AC8C3E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color w:val="auto"/>
          <w:highlight w:val="none"/>
          <w:lang w:eastAsia="zh-CN"/>
        </w:rPr>
      </w:pPr>
      <w:r>
        <w:rPr>
          <w:rFonts w:hint="eastAsia"/>
          <w:b/>
          <w:bCs/>
          <w:color w:val="auto"/>
          <w:highlight w:val="none"/>
          <w:lang w:eastAsia="zh-CN"/>
        </w:rPr>
        <w:t>谋划项目积极争资争策。</w:t>
      </w:r>
      <w:r>
        <w:rPr>
          <w:rFonts w:hint="eastAsia"/>
          <w:b w:val="0"/>
          <w:bCs w:val="0"/>
          <w:color w:val="auto"/>
          <w:highlight w:val="none"/>
          <w:lang w:eastAsia="zh-CN"/>
        </w:rPr>
        <w:t>做好合盛公司二污厂、排水工程等两重项目，凌富、亚钛、</w:t>
      </w:r>
      <w:r>
        <w:rPr>
          <w:rFonts w:hint="eastAsia"/>
          <w:color w:val="auto"/>
          <w:highlight w:val="none"/>
          <w:lang w:eastAsia="zh-CN"/>
        </w:rPr>
        <w:t>音飞等两新项目申报；积极推进专项债券项目申报，摸清可申报项目的土地底数，明确可收回收购的地块，力争申报一批存量闲置土储专项债，为发展拓展空间和资金。并协同区发改部门建立“谋划、完善、储备”动态项目库，涵盖园区基础设施、主导产业等重点领域专项债券申报，通过新增政府综合财力，统筹资源，弥补园区土地开发支出成本过大缺口，有效发挥债券资金补短板的作用。</w:t>
      </w:r>
    </w:p>
    <w:p w14:paraId="3E2A87E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eastAsia="楷体_GB2312" w:cs="Times New Roman"/>
          <w:b/>
          <w:bCs/>
          <w:color w:val="auto"/>
          <w:sz w:val="32"/>
          <w:szCs w:val="32"/>
          <w:highlight w:val="none"/>
          <w:lang w:eastAsia="zh-CN"/>
        </w:rPr>
      </w:pPr>
      <w:r>
        <w:rPr>
          <w:rFonts w:hint="eastAsia" w:eastAsia="楷体_GB2312" w:cs="Times New Roman"/>
          <w:b/>
          <w:bCs/>
          <w:color w:val="auto"/>
          <w:sz w:val="32"/>
          <w:szCs w:val="32"/>
          <w:highlight w:val="none"/>
          <w:lang w:eastAsia="zh-CN"/>
        </w:rPr>
        <w:t>（二）优化支出和统筹调度齐抓共管</w:t>
      </w:r>
    </w:p>
    <w:p w14:paraId="4399969A">
      <w:pPr>
        <w:pStyle w:val="8"/>
        <w:ind w:firstLine="643" w:firstLineChars="200"/>
        <w:rPr>
          <w:rFonts w:hint="eastAsia"/>
          <w:color w:val="auto"/>
          <w:highlight w:val="none"/>
          <w:lang w:eastAsia="zh-CN"/>
        </w:rPr>
      </w:pPr>
      <w:r>
        <w:rPr>
          <w:rFonts w:hint="eastAsia"/>
          <w:b/>
          <w:bCs/>
          <w:color w:val="auto"/>
          <w:highlight w:val="none"/>
          <w:lang w:eastAsia="zh-CN"/>
        </w:rPr>
        <w:t>严控支出提升资金效能。</w:t>
      </w:r>
      <w:r>
        <w:rPr>
          <w:rFonts w:hint="eastAsia"/>
          <w:color w:val="auto"/>
          <w:highlight w:val="none"/>
          <w:lang w:eastAsia="zh-CN"/>
        </w:rPr>
        <w:t>严格落实党政机关过紧日子要求，严控一般性支出，高度关注省厅重点监控科目的增长幅度，及时将监控预警信息反馈预算单位，落实各单位预算执行主体责任，对预警提示的支出不规范等情形，跟踪督促相关单位在规定时限内进行调整。强化重点领域和重大项目资金统筹，确保有限财力精准高效使用。科学安排全年支出计划，协同各部门提升用款计划科学性，对有时限要求的工作，加快拨付进度，对未达付款条件的项目，避免提前申报占用资金。</w:t>
      </w:r>
    </w:p>
    <w:p w14:paraId="46120D14">
      <w:pPr>
        <w:pStyle w:val="9"/>
        <w:ind w:left="0" w:leftChars="0" w:firstLine="643" w:firstLineChars="200"/>
        <w:rPr>
          <w:rFonts w:hint="eastAsia" w:ascii="Times New Roman" w:hAnsi="Times New Roman" w:eastAsia="仿宋_GB2312" w:cs="Times New Roman"/>
          <w:b w:val="0"/>
          <w:color w:val="auto"/>
          <w:kern w:val="0"/>
          <w:sz w:val="32"/>
          <w:szCs w:val="24"/>
          <w:highlight w:val="none"/>
          <w:lang w:val="en-US" w:eastAsia="zh-CN" w:bidi="ar-SA"/>
        </w:rPr>
      </w:pPr>
      <w:r>
        <w:rPr>
          <w:rFonts w:hint="eastAsia" w:ascii="Times New Roman" w:hAnsi="Times New Roman" w:eastAsia="仿宋_GB2312" w:cs="Times New Roman"/>
          <w:b/>
          <w:bCs/>
          <w:color w:val="auto"/>
          <w:kern w:val="0"/>
          <w:sz w:val="32"/>
          <w:szCs w:val="24"/>
          <w:highlight w:val="none"/>
          <w:lang w:val="en-US" w:eastAsia="zh-CN" w:bidi="ar-SA"/>
        </w:rPr>
        <w:t>强化联动保障土地出让金有序入库。</w:t>
      </w:r>
      <w:r>
        <w:rPr>
          <w:rFonts w:hint="eastAsia" w:ascii="Times New Roman" w:hAnsi="Times New Roman" w:eastAsia="仿宋_GB2312" w:cs="Times New Roman"/>
          <w:b w:val="0"/>
          <w:color w:val="auto"/>
          <w:kern w:val="0"/>
          <w:sz w:val="32"/>
          <w:szCs w:val="24"/>
          <w:highlight w:val="none"/>
          <w:lang w:val="en-US" w:eastAsia="zh-CN" w:bidi="ar-SA"/>
        </w:rPr>
        <w:t>锚定全年土地基金任务目标，主动加强与自规部门及平台公司的协同联动。自规部门年初即全面摸排年度可出让土地计划，并督促相关部门提前梳理收储环节可能存在的堵点难点，确保土地出让金按序时进度平稳入库</w:t>
      </w:r>
      <w:r>
        <w:rPr>
          <w:rFonts w:hint="eastAsia" w:eastAsia="仿宋_GB2312" w:cs="Times New Roman"/>
          <w:b w:val="0"/>
          <w:color w:val="auto"/>
          <w:kern w:val="0"/>
          <w:sz w:val="32"/>
          <w:szCs w:val="24"/>
          <w:highlight w:val="none"/>
          <w:lang w:val="en-US" w:eastAsia="zh-CN" w:bidi="ar-SA"/>
        </w:rPr>
        <w:t>。</w:t>
      </w:r>
    </w:p>
    <w:p w14:paraId="55128F4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eastAsia="楷体_GB2312" w:cs="Times New Roman"/>
          <w:b/>
          <w:bCs/>
          <w:color w:val="auto"/>
          <w:sz w:val="32"/>
          <w:szCs w:val="32"/>
          <w:highlight w:val="none"/>
          <w:lang w:val="en-US" w:eastAsia="zh-CN"/>
        </w:rPr>
      </w:pPr>
      <w:r>
        <w:rPr>
          <w:rFonts w:hint="eastAsia" w:eastAsia="楷体_GB2312" w:cs="Times New Roman"/>
          <w:b/>
          <w:bCs/>
          <w:color w:val="auto"/>
          <w:sz w:val="32"/>
          <w:szCs w:val="32"/>
          <w:highlight w:val="none"/>
          <w:lang w:val="en-US" w:eastAsia="zh-CN"/>
        </w:rPr>
        <w:t>（三）政策加力与融资支持双轮驱动</w:t>
      </w:r>
    </w:p>
    <w:p w14:paraId="7800BAD4">
      <w:pPr>
        <w:pStyle w:val="8"/>
        <w:ind w:firstLine="643" w:firstLineChars="200"/>
        <w:rPr>
          <w:rFonts w:hint="eastAsia"/>
          <w:b w:val="0"/>
          <w:bCs w:val="0"/>
          <w:color w:val="auto"/>
          <w:highlight w:val="none"/>
          <w:lang w:eastAsia="zh-CN"/>
        </w:rPr>
      </w:pPr>
      <w:r>
        <w:rPr>
          <w:rFonts w:hint="eastAsia" w:cs="Times New Roman"/>
          <w:b/>
          <w:bCs/>
          <w:color w:val="auto"/>
          <w:highlight w:val="none"/>
          <w:lang w:val="en-US" w:eastAsia="zh-CN"/>
        </w:rPr>
        <w:t>精准施策保障产业发展</w:t>
      </w:r>
      <w:r>
        <w:rPr>
          <w:rFonts w:hint="eastAsia" w:ascii="Times New Roman" w:hAnsi="Times New Roman" w:cs="Times New Roman"/>
          <w:b/>
          <w:bCs/>
          <w:color w:val="auto"/>
          <w:highlight w:val="none"/>
          <w:lang w:val="en-US" w:eastAsia="zh-CN"/>
        </w:rPr>
        <w:t>。</w:t>
      </w:r>
      <w:r>
        <w:rPr>
          <w:rFonts w:hint="eastAsia" w:ascii="Times New Roman" w:hAnsi="Times New Roman" w:cs="Times New Roman"/>
          <w:b w:val="0"/>
          <w:bCs w:val="0"/>
          <w:color w:val="auto"/>
          <w:highlight w:val="none"/>
          <w:lang w:val="en-US" w:eastAsia="zh-CN"/>
        </w:rPr>
        <w:t>为</w:t>
      </w:r>
      <w:r>
        <w:rPr>
          <w:rFonts w:hint="eastAsia" w:cs="Times New Roman"/>
          <w:b w:val="0"/>
          <w:bCs w:val="0"/>
          <w:color w:val="auto"/>
          <w:highlight w:val="none"/>
          <w:lang w:val="en-US" w:eastAsia="zh-CN"/>
        </w:rPr>
        <w:t>推动园区企业产业升级，主导产业提质增效</w:t>
      </w:r>
      <w:r>
        <w:rPr>
          <w:rFonts w:hint="eastAsia" w:ascii="Times New Roman" w:hAnsi="Times New Roman" w:cs="Times New Roman"/>
          <w:b w:val="0"/>
          <w:bCs w:val="0"/>
          <w:color w:val="auto"/>
          <w:highlight w:val="none"/>
          <w:lang w:val="en-US" w:eastAsia="zh-CN"/>
        </w:rPr>
        <w:t>，我区已出台《推动经济高质量发展若干措施》及《加强人才队伍建设若干政策》等一揽子扶持政策，聚焦科研创新、低空经济与人才保障等重点领域。2026年拟安排企业发展基金1亿元、人才就业资金0.1亿元，大院大所合作经费0.25亿元，以真金白银全力护航企业高质量发展与产业能级提升。</w:t>
      </w:r>
    </w:p>
    <w:p w14:paraId="2EF297F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b w:val="0"/>
          <w:bCs w:val="0"/>
          <w:color w:val="auto"/>
          <w:kern w:val="0"/>
          <w:sz w:val="32"/>
          <w:szCs w:val="24"/>
          <w:highlight w:val="none"/>
          <w:lang w:val="en-US" w:eastAsia="zh-CN" w:bidi="ar-SA"/>
        </w:rPr>
      </w:pPr>
      <w:r>
        <w:rPr>
          <w:rFonts w:hint="eastAsia" w:ascii="Times New Roman" w:hAnsi="Times New Roman" w:eastAsia="仿宋_GB2312" w:cs="Times New Roman"/>
          <w:b/>
          <w:bCs/>
          <w:color w:val="auto"/>
          <w:kern w:val="0"/>
          <w:sz w:val="32"/>
          <w:szCs w:val="24"/>
          <w:highlight w:val="none"/>
          <w:lang w:val="en-US" w:eastAsia="zh-CN" w:bidi="ar-SA"/>
        </w:rPr>
        <w:t>拓宽</w:t>
      </w:r>
      <w:r>
        <w:rPr>
          <w:rFonts w:hint="eastAsia" w:ascii="Times New Roman" w:hAnsi="Times New Roman" w:cs="Times New Roman"/>
          <w:b/>
          <w:bCs/>
          <w:color w:val="auto"/>
          <w:kern w:val="0"/>
          <w:sz w:val="32"/>
          <w:szCs w:val="24"/>
          <w:highlight w:val="none"/>
          <w:lang w:val="en-US" w:eastAsia="zh-CN" w:bidi="ar-SA"/>
        </w:rPr>
        <w:t>破解企业</w:t>
      </w:r>
      <w:r>
        <w:rPr>
          <w:rFonts w:hint="eastAsia" w:ascii="Times New Roman" w:hAnsi="Times New Roman" w:eastAsia="仿宋_GB2312" w:cs="Times New Roman"/>
          <w:b/>
          <w:bCs/>
          <w:color w:val="auto"/>
          <w:kern w:val="0"/>
          <w:sz w:val="32"/>
          <w:szCs w:val="24"/>
          <w:highlight w:val="none"/>
          <w:lang w:val="en-US" w:eastAsia="zh-CN" w:bidi="ar-SA"/>
        </w:rPr>
        <w:t>融资难题。</w:t>
      </w:r>
      <w:r>
        <w:rPr>
          <w:rFonts w:hint="eastAsia" w:ascii="Times New Roman" w:hAnsi="Times New Roman" w:eastAsia="仿宋_GB2312" w:cs="Times New Roman"/>
          <w:b w:val="0"/>
          <w:bCs w:val="0"/>
          <w:color w:val="auto"/>
          <w:kern w:val="0"/>
          <w:sz w:val="32"/>
          <w:szCs w:val="24"/>
          <w:highlight w:val="none"/>
          <w:lang w:val="en-US" w:eastAsia="zh-CN" w:bidi="ar-SA"/>
        </w:rPr>
        <w:t>一是扩大普惠金融覆盖面，常态化开展银企对接活动，通过普惠联合贷、流动资金贷等产品，切实解决小微企业融资；二是强化科技金融赋能，全面推进 “先投后股” 模式，通过“先投后股”给予科技成果转化资金支持，并鼓励金融机构推出投贷联动金融支持产品</w:t>
      </w:r>
      <w:r>
        <w:rPr>
          <w:rFonts w:hint="eastAsia" w:cs="Times New Roman"/>
          <w:b w:val="0"/>
          <w:bCs w:val="0"/>
          <w:color w:val="auto"/>
          <w:kern w:val="0"/>
          <w:sz w:val="32"/>
          <w:szCs w:val="24"/>
          <w:highlight w:val="none"/>
          <w:lang w:val="en-US" w:eastAsia="zh-CN" w:bidi="ar-SA"/>
        </w:rPr>
        <w:t>；</w:t>
      </w:r>
      <w:r>
        <w:rPr>
          <w:rFonts w:hint="eastAsia" w:ascii="Times New Roman" w:hAnsi="Times New Roman" w:eastAsia="仿宋_GB2312" w:cs="Times New Roman"/>
          <w:b w:val="0"/>
          <w:bCs w:val="0"/>
          <w:color w:val="auto"/>
          <w:kern w:val="0"/>
          <w:sz w:val="32"/>
          <w:szCs w:val="24"/>
          <w:highlight w:val="none"/>
          <w:lang w:val="en-US" w:eastAsia="zh-CN" w:bidi="ar-SA"/>
        </w:rPr>
        <w:t>三是持续推进企业上市</w:t>
      </w:r>
      <w:r>
        <w:rPr>
          <w:rFonts w:hint="eastAsia" w:cs="Times New Roman"/>
          <w:b w:val="0"/>
          <w:bCs w:val="0"/>
          <w:color w:val="auto"/>
          <w:kern w:val="0"/>
          <w:sz w:val="32"/>
          <w:szCs w:val="24"/>
          <w:highlight w:val="none"/>
          <w:lang w:val="en-US" w:eastAsia="zh-CN" w:bidi="ar-SA"/>
        </w:rPr>
        <w:t>，</w:t>
      </w:r>
      <w:r>
        <w:rPr>
          <w:rFonts w:hint="eastAsia" w:ascii="Times New Roman" w:hAnsi="Times New Roman" w:eastAsia="仿宋_GB2312" w:cs="Times New Roman"/>
          <w:b w:val="0"/>
          <w:bCs w:val="0"/>
          <w:color w:val="auto"/>
          <w:kern w:val="0"/>
          <w:sz w:val="32"/>
          <w:szCs w:val="24"/>
          <w:highlight w:val="none"/>
          <w:lang w:val="en-US" w:eastAsia="zh-CN" w:bidi="ar-SA"/>
        </w:rPr>
        <w:t>加强重点上市后备企业走访调研，积极协调企业上市进程中的难点问题，力争2026年实现昌兴航空科创板上市，九由航空挂牌新三板。</w:t>
      </w:r>
    </w:p>
    <w:p w14:paraId="76C1068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eastAsia="楷体_GB2312" w:cs="Times New Roman"/>
          <w:b/>
          <w:bCs/>
          <w:color w:val="auto"/>
          <w:sz w:val="32"/>
          <w:szCs w:val="32"/>
          <w:highlight w:val="none"/>
          <w:lang w:val="en-US" w:eastAsia="zh-CN"/>
        </w:rPr>
      </w:pPr>
      <w:r>
        <w:rPr>
          <w:rFonts w:hint="eastAsia" w:eastAsia="楷体_GB2312" w:cs="Times New Roman"/>
          <w:b/>
          <w:bCs/>
          <w:color w:val="auto"/>
          <w:sz w:val="32"/>
          <w:szCs w:val="32"/>
          <w:highlight w:val="none"/>
          <w:lang w:val="en-US" w:eastAsia="zh-CN"/>
        </w:rPr>
        <w:t>（四）财政监督与廉政建设一体推进</w:t>
      </w:r>
    </w:p>
    <w:p w14:paraId="5C08E955">
      <w:pPr>
        <w:pStyle w:val="8"/>
        <w:ind w:firstLine="643" w:firstLineChars="200"/>
        <w:rPr>
          <w:rFonts w:hint="eastAsia"/>
          <w:color w:val="auto"/>
          <w:highlight w:val="none"/>
          <w:lang w:eastAsia="zh-CN"/>
        </w:rPr>
      </w:pPr>
      <w:r>
        <w:rPr>
          <w:rFonts w:hint="eastAsia"/>
          <w:b/>
          <w:bCs/>
          <w:color w:val="auto"/>
          <w:highlight w:val="none"/>
          <w:lang w:eastAsia="zh-CN"/>
        </w:rPr>
        <w:t>坚持以查促改提升监管效能。</w:t>
      </w:r>
      <w:r>
        <w:rPr>
          <w:rFonts w:hint="eastAsia"/>
          <w:b w:val="0"/>
          <w:bCs w:val="0"/>
          <w:color w:val="auto"/>
          <w:highlight w:val="none"/>
          <w:lang w:eastAsia="zh-CN"/>
        </w:rPr>
        <w:t>以2025年工作成果为基础，持续深化以查促改成效，结合部门财务支出常规性检查，重点关注办公用品采购、公务接待、政府购买服务等领域新制度的落实情况；继续加强上级专项资金使用情况检查，开展2026年度专项资金检查工作，切实提升财政资金使用规范度与效益。</w:t>
      </w:r>
    </w:p>
    <w:p w14:paraId="16DDD7EB">
      <w:pPr>
        <w:pStyle w:val="8"/>
        <w:ind w:firstLine="643" w:firstLineChars="200"/>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b/>
          <w:bCs/>
          <w:color w:val="auto"/>
          <w:highlight w:val="none"/>
          <w:lang w:eastAsia="zh-CN"/>
        </w:rPr>
        <w:t>筑牢财政干部思想防线。</w:t>
      </w:r>
      <w:r>
        <w:rPr>
          <w:rFonts w:hint="eastAsia"/>
          <w:b w:val="0"/>
          <w:bCs w:val="0"/>
          <w:color w:val="auto"/>
          <w:highlight w:val="none"/>
          <w:lang w:eastAsia="zh-CN"/>
        </w:rPr>
        <w:t>一是加强政治理论学习。将习近平总书记关于党风廉政建设、廉洁文化建设的重要论述及重要批示精神列入财政学习计划，强化重点岗位廉政风险防控；二是实现学习成果转化。按照“以学铸魂、以学增智、以学正风、以学促干”重要要求，推进学习成果转化落实工作，提升政治素质和工作水平。加强业务培训和专业学习，着力锻造忠诚干净担当的财政干部队伍，不断涵养风清气正劲足的财政廉洁政治生态。</w:t>
      </w:r>
    </w:p>
    <w:sectPr>
      <w:footerReference r:id="rId5" w:type="default"/>
      <w:pgSz w:w="11906" w:h="16838"/>
      <w:pgMar w:top="2098" w:right="1474" w:bottom="1984" w:left="1587" w:header="851" w:footer="992" w:gutter="0"/>
      <w:pgNumType w:fmt="numberInDash"/>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_GB2312">
    <w:altName w:val="仿宋"/>
    <w:panose1 w:val="02000000000000000000"/>
    <w:charset w:val="00"/>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9BC3F">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54546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545465"/>
                      </a:xfrm>
                      <a:prstGeom prst="rect">
                        <a:avLst/>
                      </a:prstGeom>
                      <a:noFill/>
                      <a:ln>
                        <a:noFill/>
                      </a:ln>
                    </wps:spPr>
                    <wps:txbx>
                      <w:txbxContent>
                        <w:p w14:paraId="2869F37C">
                          <w:pPr>
                            <w:pStyle w:val="1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vert="horz" wrap="none" lIns="0" tIns="0" rIns="0" bIns="0" anchor="t" anchorCtr="0" upright="0"/>
                  </wps:wsp>
                </a:graphicData>
              </a:graphic>
            </wp:anchor>
          </w:drawing>
        </mc:Choice>
        <mc:Fallback>
          <w:pict>
            <v:shape id="_x0000_s1026" o:spid="_x0000_s1026" o:spt="202" type="#_x0000_t202" style="position:absolute;left:0pt;margin-top:0pt;height:42.95pt;width:144pt;mso-position-horizontal:center;mso-position-horizontal-relative:margin;mso-wrap-style:none;z-index:251659264;mso-width-relative:page;mso-height-relative:page;" filled="f" stroked="f" coordsize="21600,21600" o:gfxdata="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NHQIR9IAAAAEAQAADwAAAAAAAAABACAAAAAi&#10;AAAAZHJzL2Rvd25yZXYueG1sUEsBAhQAFAAAAAgAh07iQGyCweLXAQAAowMAAA4AAAAAAAAAAQAg&#10;AAAAIQEAAGRycy9lMm9Eb2MueG1sUEsFBgAAAAAGAAYAWQEAAGoFAAAAAA==&#10;">
              <v:fill on="f" focussize="0,0"/>
              <v:stroke on="f"/>
              <v:imagedata o:title=""/>
              <o:lock v:ext="edit" aspectratio="f"/>
              <v:textbox inset="0mm,0mm,0mm,0mm">
                <w:txbxContent>
                  <w:p w14:paraId="2869F37C">
                    <w:pPr>
                      <w:pStyle w:val="1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F212F7"/>
    <w:multiLevelType w:val="singleLevel"/>
    <w:tmpl w:val="BBF212F7"/>
    <w:lvl w:ilvl="0" w:tentative="0">
      <w:start w:val="3"/>
      <w:numFmt w:val="chineseCounting"/>
      <w:suff w:val="nothing"/>
      <w:lvlText w:val="%1、"/>
      <w:lvlJc w:val="left"/>
      <w:rPr>
        <w:rFonts w:hint="eastAsia"/>
      </w:rPr>
    </w:lvl>
  </w:abstractNum>
  <w:abstractNum w:abstractNumId="1">
    <w:nsid w:val="419F5C6E"/>
    <w:multiLevelType w:val="singleLevel"/>
    <w:tmpl w:val="419F5C6E"/>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4NWU1MzU4OGEzMjM4NGFkNTBmYmU3N2Q4YWM3N2QifQ=="/>
  </w:docVars>
  <w:rsids>
    <w:rsidRoot w:val="00000000"/>
    <w:rsid w:val="000026AF"/>
    <w:rsid w:val="01D31020"/>
    <w:rsid w:val="02592EF8"/>
    <w:rsid w:val="02634826"/>
    <w:rsid w:val="02832A46"/>
    <w:rsid w:val="02896FFD"/>
    <w:rsid w:val="0293255D"/>
    <w:rsid w:val="02C124E9"/>
    <w:rsid w:val="03391357"/>
    <w:rsid w:val="0382480E"/>
    <w:rsid w:val="03935E50"/>
    <w:rsid w:val="03FD0897"/>
    <w:rsid w:val="048D65BC"/>
    <w:rsid w:val="04C06A1F"/>
    <w:rsid w:val="05996459"/>
    <w:rsid w:val="063303F2"/>
    <w:rsid w:val="07762B7A"/>
    <w:rsid w:val="07D75A14"/>
    <w:rsid w:val="08AB6853"/>
    <w:rsid w:val="08C77405"/>
    <w:rsid w:val="09565495"/>
    <w:rsid w:val="09BC0979"/>
    <w:rsid w:val="0AA74DF8"/>
    <w:rsid w:val="0AC9473D"/>
    <w:rsid w:val="0B7471EA"/>
    <w:rsid w:val="0B771154"/>
    <w:rsid w:val="0BC61482"/>
    <w:rsid w:val="0BE65DF4"/>
    <w:rsid w:val="0D2C7F09"/>
    <w:rsid w:val="0D4525A2"/>
    <w:rsid w:val="0D751BBD"/>
    <w:rsid w:val="0D961154"/>
    <w:rsid w:val="0ECC307F"/>
    <w:rsid w:val="0EFF5127"/>
    <w:rsid w:val="0F7F14EA"/>
    <w:rsid w:val="0F954399"/>
    <w:rsid w:val="10C5FDA5"/>
    <w:rsid w:val="119D7E70"/>
    <w:rsid w:val="135C2932"/>
    <w:rsid w:val="13FA2956"/>
    <w:rsid w:val="14263873"/>
    <w:rsid w:val="147A373C"/>
    <w:rsid w:val="15037D50"/>
    <w:rsid w:val="157F56ED"/>
    <w:rsid w:val="15804B71"/>
    <w:rsid w:val="15C8479D"/>
    <w:rsid w:val="15FE3C3C"/>
    <w:rsid w:val="168D507E"/>
    <w:rsid w:val="1770027B"/>
    <w:rsid w:val="181F3A21"/>
    <w:rsid w:val="182C5DE4"/>
    <w:rsid w:val="18ED431E"/>
    <w:rsid w:val="196640D0"/>
    <w:rsid w:val="196E7E2F"/>
    <w:rsid w:val="197C5EDB"/>
    <w:rsid w:val="1A212AE1"/>
    <w:rsid w:val="1B2716BD"/>
    <w:rsid w:val="1C057BD0"/>
    <w:rsid w:val="1C512E16"/>
    <w:rsid w:val="1C604FCC"/>
    <w:rsid w:val="1DBE357D"/>
    <w:rsid w:val="1DF5FBF4"/>
    <w:rsid w:val="1E3778B4"/>
    <w:rsid w:val="1E6F7F9D"/>
    <w:rsid w:val="1E7B0D31"/>
    <w:rsid w:val="1EB01FC6"/>
    <w:rsid w:val="1F6C10DE"/>
    <w:rsid w:val="1F6EB5C7"/>
    <w:rsid w:val="1FD78DCE"/>
    <w:rsid w:val="1FFB600C"/>
    <w:rsid w:val="20025BA9"/>
    <w:rsid w:val="200D799B"/>
    <w:rsid w:val="209440AA"/>
    <w:rsid w:val="20AE781D"/>
    <w:rsid w:val="20FF774E"/>
    <w:rsid w:val="21075CAD"/>
    <w:rsid w:val="21556F04"/>
    <w:rsid w:val="22DF36A4"/>
    <w:rsid w:val="23083F5E"/>
    <w:rsid w:val="23767606"/>
    <w:rsid w:val="238D0E95"/>
    <w:rsid w:val="23D752E9"/>
    <w:rsid w:val="24C543A1"/>
    <w:rsid w:val="24D02B78"/>
    <w:rsid w:val="255B089A"/>
    <w:rsid w:val="26B96187"/>
    <w:rsid w:val="26D55F02"/>
    <w:rsid w:val="26D712AB"/>
    <w:rsid w:val="26F438A5"/>
    <w:rsid w:val="270934A7"/>
    <w:rsid w:val="270A2526"/>
    <w:rsid w:val="272EC317"/>
    <w:rsid w:val="27FB619F"/>
    <w:rsid w:val="28BD7036"/>
    <w:rsid w:val="29844CE4"/>
    <w:rsid w:val="29A0718A"/>
    <w:rsid w:val="29F00112"/>
    <w:rsid w:val="2A575627"/>
    <w:rsid w:val="2BF38D75"/>
    <w:rsid w:val="2BFE8E6B"/>
    <w:rsid w:val="2C5E1B70"/>
    <w:rsid w:val="2EF5CCF3"/>
    <w:rsid w:val="2F2A778C"/>
    <w:rsid w:val="2F914BB6"/>
    <w:rsid w:val="2FCF6931"/>
    <w:rsid w:val="2FFDAD50"/>
    <w:rsid w:val="309C1FFA"/>
    <w:rsid w:val="31A0367A"/>
    <w:rsid w:val="328A09D8"/>
    <w:rsid w:val="32BB0436"/>
    <w:rsid w:val="339C7370"/>
    <w:rsid w:val="33BFA325"/>
    <w:rsid w:val="33F76822"/>
    <w:rsid w:val="34A8761B"/>
    <w:rsid w:val="34FF02B4"/>
    <w:rsid w:val="35236CE8"/>
    <w:rsid w:val="35A95619"/>
    <w:rsid w:val="35EA797F"/>
    <w:rsid w:val="35ED3B57"/>
    <w:rsid w:val="362F3416"/>
    <w:rsid w:val="367F0052"/>
    <w:rsid w:val="36B93FAC"/>
    <w:rsid w:val="36D74E08"/>
    <w:rsid w:val="377E7DE9"/>
    <w:rsid w:val="37845DE0"/>
    <w:rsid w:val="378A7F32"/>
    <w:rsid w:val="378C0D4E"/>
    <w:rsid w:val="37D748ED"/>
    <w:rsid w:val="38A345A1"/>
    <w:rsid w:val="393B0C7E"/>
    <w:rsid w:val="394E355B"/>
    <w:rsid w:val="39BB60AF"/>
    <w:rsid w:val="39C68D24"/>
    <w:rsid w:val="39D85357"/>
    <w:rsid w:val="39D97B8F"/>
    <w:rsid w:val="39FE13D3"/>
    <w:rsid w:val="3AC21656"/>
    <w:rsid w:val="3B4427A6"/>
    <w:rsid w:val="3BC35D64"/>
    <w:rsid w:val="3BFF2059"/>
    <w:rsid w:val="3CE10AA9"/>
    <w:rsid w:val="3CF6814A"/>
    <w:rsid w:val="3D1A13B6"/>
    <w:rsid w:val="3D3A3C3D"/>
    <w:rsid w:val="3DC7AA1F"/>
    <w:rsid w:val="3DF867C8"/>
    <w:rsid w:val="3EB01F38"/>
    <w:rsid w:val="3ED2DA96"/>
    <w:rsid w:val="3EF568BC"/>
    <w:rsid w:val="3F1D0DC4"/>
    <w:rsid w:val="3F211393"/>
    <w:rsid w:val="3F2A7A88"/>
    <w:rsid w:val="3F9072D8"/>
    <w:rsid w:val="3FAB54EB"/>
    <w:rsid w:val="3FBC95F4"/>
    <w:rsid w:val="3FE03819"/>
    <w:rsid w:val="3FF7148C"/>
    <w:rsid w:val="3FFF7C98"/>
    <w:rsid w:val="3FFFA808"/>
    <w:rsid w:val="3FFFF6E0"/>
    <w:rsid w:val="40AA400D"/>
    <w:rsid w:val="41567D0A"/>
    <w:rsid w:val="41871B0D"/>
    <w:rsid w:val="4224096D"/>
    <w:rsid w:val="4329074B"/>
    <w:rsid w:val="43E42415"/>
    <w:rsid w:val="44184095"/>
    <w:rsid w:val="441A6054"/>
    <w:rsid w:val="44641549"/>
    <w:rsid w:val="45D03A9B"/>
    <w:rsid w:val="46607F75"/>
    <w:rsid w:val="46E93AC7"/>
    <w:rsid w:val="4743767B"/>
    <w:rsid w:val="47662F79"/>
    <w:rsid w:val="47DF4D5A"/>
    <w:rsid w:val="483B06FE"/>
    <w:rsid w:val="48805E95"/>
    <w:rsid w:val="48985B95"/>
    <w:rsid w:val="49134D90"/>
    <w:rsid w:val="49492F43"/>
    <w:rsid w:val="495F5729"/>
    <w:rsid w:val="4A2861F7"/>
    <w:rsid w:val="4A6C0F8F"/>
    <w:rsid w:val="4AA81C93"/>
    <w:rsid w:val="4B4E4840"/>
    <w:rsid w:val="4BF98239"/>
    <w:rsid w:val="4C400786"/>
    <w:rsid w:val="4C526500"/>
    <w:rsid w:val="4CE54D31"/>
    <w:rsid w:val="4DF4166C"/>
    <w:rsid w:val="4E03668D"/>
    <w:rsid w:val="4E4869FD"/>
    <w:rsid w:val="4E9F1C15"/>
    <w:rsid w:val="4EB2594E"/>
    <w:rsid w:val="4ED4505D"/>
    <w:rsid w:val="4F3C364C"/>
    <w:rsid w:val="4FB70BF0"/>
    <w:rsid w:val="4FEF5CA8"/>
    <w:rsid w:val="4FFC5F20"/>
    <w:rsid w:val="4FFDB647"/>
    <w:rsid w:val="4FFFF765"/>
    <w:rsid w:val="511978CC"/>
    <w:rsid w:val="512C499D"/>
    <w:rsid w:val="51882340"/>
    <w:rsid w:val="51D610EC"/>
    <w:rsid w:val="531A6E62"/>
    <w:rsid w:val="539E0B35"/>
    <w:rsid w:val="54860B39"/>
    <w:rsid w:val="55CE6AC7"/>
    <w:rsid w:val="569605DE"/>
    <w:rsid w:val="56EB191A"/>
    <w:rsid w:val="577FD72A"/>
    <w:rsid w:val="57AB112F"/>
    <w:rsid w:val="57BDE8E8"/>
    <w:rsid w:val="582B585E"/>
    <w:rsid w:val="59BFA3E9"/>
    <w:rsid w:val="5A11553E"/>
    <w:rsid w:val="5A251EDB"/>
    <w:rsid w:val="5AA862C2"/>
    <w:rsid w:val="5AD2217F"/>
    <w:rsid w:val="5AF962B4"/>
    <w:rsid w:val="5B445318"/>
    <w:rsid w:val="5B5E287E"/>
    <w:rsid w:val="5B876734"/>
    <w:rsid w:val="5BF60D08"/>
    <w:rsid w:val="5C3760AF"/>
    <w:rsid w:val="5C5743F3"/>
    <w:rsid w:val="5C9379BB"/>
    <w:rsid w:val="5CA66EF8"/>
    <w:rsid w:val="5CF73F41"/>
    <w:rsid w:val="5D331805"/>
    <w:rsid w:val="5D4945C7"/>
    <w:rsid w:val="5D571D5F"/>
    <w:rsid w:val="5DBF1231"/>
    <w:rsid w:val="5DEF6446"/>
    <w:rsid w:val="5E0340A1"/>
    <w:rsid w:val="5E68010B"/>
    <w:rsid w:val="5E7C105B"/>
    <w:rsid w:val="5EC8350B"/>
    <w:rsid w:val="5EDBA1CE"/>
    <w:rsid w:val="5EF05EE3"/>
    <w:rsid w:val="5F6D6BF9"/>
    <w:rsid w:val="5F7F35B4"/>
    <w:rsid w:val="5FD4B444"/>
    <w:rsid w:val="5FEE0944"/>
    <w:rsid w:val="5FF7832D"/>
    <w:rsid w:val="5FFE38E3"/>
    <w:rsid w:val="5FFE3CBA"/>
    <w:rsid w:val="5FFFACF6"/>
    <w:rsid w:val="604D6AAD"/>
    <w:rsid w:val="60D23B67"/>
    <w:rsid w:val="60E9646C"/>
    <w:rsid w:val="613A1697"/>
    <w:rsid w:val="61B958FD"/>
    <w:rsid w:val="61D37400"/>
    <w:rsid w:val="62A0377C"/>
    <w:rsid w:val="62D6719E"/>
    <w:rsid w:val="63A159FD"/>
    <w:rsid w:val="63D4021F"/>
    <w:rsid w:val="63DF791F"/>
    <w:rsid w:val="64FE2BFA"/>
    <w:rsid w:val="657D9C93"/>
    <w:rsid w:val="65CED691"/>
    <w:rsid w:val="66CA77F2"/>
    <w:rsid w:val="66F50978"/>
    <w:rsid w:val="676F7BC1"/>
    <w:rsid w:val="67EB36EB"/>
    <w:rsid w:val="6807110D"/>
    <w:rsid w:val="685E370E"/>
    <w:rsid w:val="68710AB1"/>
    <w:rsid w:val="698735C3"/>
    <w:rsid w:val="69FE3D41"/>
    <w:rsid w:val="6B075B1E"/>
    <w:rsid w:val="6B3E7A96"/>
    <w:rsid w:val="6B9A38D8"/>
    <w:rsid w:val="6BBF64D9"/>
    <w:rsid w:val="6CB108A8"/>
    <w:rsid w:val="6CF2784B"/>
    <w:rsid w:val="6D2C613B"/>
    <w:rsid w:val="6D6E96DE"/>
    <w:rsid w:val="6DDDD8CF"/>
    <w:rsid w:val="6E725FC8"/>
    <w:rsid w:val="6E7A7577"/>
    <w:rsid w:val="6E855D45"/>
    <w:rsid w:val="6E874588"/>
    <w:rsid w:val="6E890023"/>
    <w:rsid w:val="6EB5329C"/>
    <w:rsid w:val="6EBB7E80"/>
    <w:rsid w:val="6EFB6DB3"/>
    <w:rsid w:val="6EFD6637"/>
    <w:rsid w:val="6FAABBEF"/>
    <w:rsid w:val="6FAFA93F"/>
    <w:rsid w:val="6FBF175C"/>
    <w:rsid w:val="6FDF2A94"/>
    <w:rsid w:val="6FED2768"/>
    <w:rsid w:val="6FF612B2"/>
    <w:rsid w:val="70741FCE"/>
    <w:rsid w:val="71451F50"/>
    <w:rsid w:val="72417E1B"/>
    <w:rsid w:val="72964253"/>
    <w:rsid w:val="73DF5537"/>
    <w:rsid w:val="73F90F3E"/>
    <w:rsid w:val="73FF6323"/>
    <w:rsid w:val="74733881"/>
    <w:rsid w:val="74A40C5E"/>
    <w:rsid w:val="74F9B87E"/>
    <w:rsid w:val="756793B7"/>
    <w:rsid w:val="76437FDC"/>
    <w:rsid w:val="76E22FF6"/>
    <w:rsid w:val="76EE146D"/>
    <w:rsid w:val="776C579C"/>
    <w:rsid w:val="77B3DC96"/>
    <w:rsid w:val="77CFD5BB"/>
    <w:rsid w:val="77FF141F"/>
    <w:rsid w:val="782B588B"/>
    <w:rsid w:val="794A6A15"/>
    <w:rsid w:val="7957145B"/>
    <w:rsid w:val="79B7D99A"/>
    <w:rsid w:val="79BE0FEA"/>
    <w:rsid w:val="79E69B5A"/>
    <w:rsid w:val="7A25C4EE"/>
    <w:rsid w:val="7A747570"/>
    <w:rsid w:val="7ABB1715"/>
    <w:rsid w:val="7B4BAC0D"/>
    <w:rsid w:val="7B77ACDD"/>
    <w:rsid w:val="7BBD00DD"/>
    <w:rsid w:val="7BDB9F9B"/>
    <w:rsid w:val="7BFD5763"/>
    <w:rsid w:val="7BFF4113"/>
    <w:rsid w:val="7C38192B"/>
    <w:rsid w:val="7D012494"/>
    <w:rsid w:val="7D341239"/>
    <w:rsid w:val="7D361DB8"/>
    <w:rsid w:val="7D4F04C7"/>
    <w:rsid w:val="7DAB8EB7"/>
    <w:rsid w:val="7DEC51F9"/>
    <w:rsid w:val="7DF176F4"/>
    <w:rsid w:val="7DF189DD"/>
    <w:rsid w:val="7DF7EB68"/>
    <w:rsid w:val="7DFF3A99"/>
    <w:rsid w:val="7E1245FF"/>
    <w:rsid w:val="7E7BF45D"/>
    <w:rsid w:val="7EBAA37C"/>
    <w:rsid w:val="7EBD951B"/>
    <w:rsid w:val="7EE34CC4"/>
    <w:rsid w:val="7EE50C98"/>
    <w:rsid w:val="7F36630F"/>
    <w:rsid w:val="7F3A269B"/>
    <w:rsid w:val="7F6FBFC0"/>
    <w:rsid w:val="7F77B164"/>
    <w:rsid w:val="7F7B71CF"/>
    <w:rsid w:val="7F7E3FED"/>
    <w:rsid w:val="7F7EF83F"/>
    <w:rsid w:val="7FB925B5"/>
    <w:rsid w:val="7FBB40C1"/>
    <w:rsid w:val="7FBEA862"/>
    <w:rsid w:val="7FBF6CA0"/>
    <w:rsid w:val="7FBF7D30"/>
    <w:rsid w:val="7FD74A19"/>
    <w:rsid w:val="7FDFCCEB"/>
    <w:rsid w:val="7FDFD6C3"/>
    <w:rsid w:val="7FF7D103"/>
    <w:rsid w:val="7FF7DD88"/>
    <w:rsid w:val="7FF92D4A"/>
    <w:rsid w:val="7FF93D10"/>
    <w:rsid w:val="7FFB7EE0"/>
    <w:rsid w:val="7FFCF003"/>
    <w:rsid w:val="7FFEB935"/>
    <w:rsid w:val="7FFFF5E9"/>
    <w:rsid w:val="86D81389"/>
    <w:rsid w:val="8BBEDF9A"/>
    <w:rsid w:val="8FFB111B"/>
    <w:rsid w:val="8FFEF61A"/>
    <w:rsid w:val="93E77F87"/>
    <w:rsid w:val="95FD9059"/>
    <w:rsid w:val="976F8C21"/>
    <w:rsid w:val="9CFFB85D"/>
    <w:rsid w:val="9DF3B8C5"/>
    <w:rsid w:val="9EF7C2E8"/>
    <w:rsid w:val="9F795244"/>
    <w:rsid w:val="9F9D37E6"/>
    <w:rsid w:val="A7EF5A42"/>
    <w:rsid w:val="A7F53E88"/>
    <w:rsid w:val="A7FCF059"/>
    <w:rsid w:val="ADFDDAE8"/>
    <w:rsid w:val="AF7FABD3"/>
    <w:rsid w:val="AF9F4D08"/>
    <w:rsid w:val="AFFF5A68"/>
    <w:rsid w:val="B2AF4793"/>
    <w:rsid w:val="B59FC734"/>
    <w:rsid w:val="B67F1409"/>
    <w:rsid w:val="BAFF528D"/>
    <w:rsid w:val="BB35D4F6"/>
    <w:rsid w:val="BB379704"/>
    <w:rsid w:val="BD7CB43A"/>
    <w:rsid w:val="BD858B93"/>
    <w:rsid w:val="BD9F2CD3"/>
    <w:rsid w:val="BDDF54C6"/>
    <w:rsid w:val="BDF5E3F1"/>
    <w:rsid w:val="BE7B1BE7"/>
    <w:rsid w:val="BEEF50E1"/>
    <w:rsid w:val="BFD7BB76"/>
    <w:rsid w:val="BFDD84A1"/>
    <w:rsid w:val="BFFF4A38"/>
    <w:rsid w:val="C6FD09A6"/>
    <w:rsid w:val="C9DD9063"/>
    <w:rsid w:val="CBFBD87A"/>
    <w:rsid w:val="CDBF67A2"/>
    <w:rsid w:val="CDEDE7CD"/>
    <w:rsid w:val="CEDB965B"/>
    <w:rsid w:val="CF77A2C8"/>
    <w:rsid w:val="CFF5B0AD"/>
    <w:rsid w:val="D132213A"/>
    <w:rsid w:val="D5FDD719"/>
    <w:rsid w:val="D9C21BCE"/>
    <w:rsid w:val="D9FEE59A"/>
    <w:rsid w:val="DBBF75BD"/>
    <w:rsid w:val="DD5F9A0E"/>
    <w:rsid w:val="DE9BA6FB"/>
    <w:rsid w:val="DF3E3327"/>
    <w:rsid w:val="DF591143"/>
    <w:rsid w:val="DFDFA893"/>
    <w:rsid w:val="DFFDE7E0"/>
    <w:rsid w:val="E2EDB455"/>
    <w:rsid w:val="E5DF71B5"/>
    <w:rsid w:val="E6FF4F84"/>
    <w:rsid w:val="E75B19BD"/>
    <w:rsid w:val="E9AF037F"/>
    <w:rsid w:val="EA3F6E3A"/>
    <w:rsid w:val="EA7BCD92"/>
    <w:rsid w:val="EB870BB7"/>
    <w:rsid w:val="EBF227F0"/>
    <w:rsid w:val="EC66878D"/>
    <w:rsid w:val="EDBEDE59"/>
    <w:rsid w:val="EDDF0D59"/>
    <w:rsid w:val="EE356F89"/>
    <w:rsid w:val="EE592571"/>
    <w:rsid w:val="EEB7A1F8"/>
    <w:rsid w:val="EEEF6DC8"/>
    <w:rsid w:val="EF56B4B6"/>
    <w:rsid w:val="EFAF6E89"/>
    <w:rsid w:val="EFB808E9"/>
    <w:rsid w:val="EFCB592F"/>
    <w:rsid w:val="EFDAA10A"/>
    <w:rsid w:val="EFF98A7D"/>
    <w:rsid w:val="F57A4AA4"/>
    <w:rsid w:val="F5F94058"/>
    <w:rsid w:val="F6DDE065"/>
    <w:rsid w:val="F75D8EFF"/>
    <w:rsid w:val="F77EB8C4"/>
    <w:rsid w:val="F7EB6A83"/>
    <w:rsid w:val="F7F942A0"/>
    <w:rsid w:val="F7FB523F"/>
    <w:rsid w:val="F7FBF941"/>
    <w:rsid w:val="F9ED35DC"/>
    <w:rsid w:val="F9FA5B2C"/>
    <w:rsid w:val="FA7AA535"/>
    <w:rsid w:val="FA877988"/>
    <w:rsid w:val="FB7E68AA"/>
    <w:rsid w:val="FBB690E8"/>
    <w:rsid w:val="FBDFA56A"/>
    <w:rsid w:val="FBF18D13"/>
    <w:rsid w:val="FBFDEA4A"/>
    <w:rsid w:val="FBFFA37B"/>
    <w:rsid w:val="FCEF27FF"/>
    <w:rsid w:val="FCFC8AD0"/>
    <w:rsid w:val="FD4A3DDD"/>
    <w:rsid w:val="FD5FD992"/>
    <w:rsid w:val="FD7AEAAD"/>
    <w:rsid w:val="FDE3CB5D"/>
    <w:rsid w:val="FDFD5957"/>
    <w:rsid w:val="FDFF2C58"/>
    <w:rsid w:val="FDFF65A6"/>
    <w:rsid w:val="FE6F1046"/>
    <w:rsid w:val="FE764A77"/>
    <w:rsid w:val="FEAE6491"/>
    <w:rsid w:val="FEAF2E3A"/>
    <w:rsid w:val="FF5F3993"/>
    <w:rsid w:val="FF7BA44C"/>
    <w:rsid w:val="FFBB8584"/>
    <w:rsid w:val="FFBD76CF"/>
    <w:rsid w:val="FFDD4981"/>
    <w:rsid w:val="FFDF71C0"/>
    <w:rsid w:val="FFEAF075"/>
    <w:rsid w:val="FFEF9906"/>
    <w:rsid w:val="FFF76AF9"/>
    <w:rsid w:val="FFFE26D1"/>
    <w:rsid w:val="FFFF38E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00" w:lineRule="exact"/>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4">
    <w:name w:val="heading 2"/>
    <w:basedOn w:val="1"/>
    <w:next w:val="1"/>
    <w:unhideWhenUsed/>
    <w:qFormat/>
    <w:uiPriority w:val="0"/>
    <w:pPr>
      <w:keepNext/>
      <w:keepLines/>
      <w:spacing w:line="560" w:lineRule="exact"/>
      <w:outlineLvl w:val="1"/>
    </w:pPr>
    <w:rPr>
      <w:rFonts w:ascii="Arial" w:hAnsi="Arial" w:eastAsia="黑体" w:cs="Times New Roman"/>
      <w:bCs/>
    </w:rPr>
  </w:style>
  <w:style w:type="paragraph" w:styleId="5">
    <w:name w:val="heading 3"/>
    <w:basedOn w:val="1"/>
    <w:next w:val="1"/>
    <w:unhideWhenUsed/>
    <w:qFormat/>
    <w:uiPriority w:val="0"/>
    <w:pPr>
      <w:keepNext/>
      <w:keepLines/>
      <w:spacing w:beforeLines="0" w:beforeAutospacing="0" w:afterLines="0" w:afterAutospacing="0" w:line="560" w:lineRule="exact"/>
      <w:outlineLvl w:val="2"/>
    </w:pPr>
    <w:rPr>
      <w:rFonts w:eastAsia="楷体_GB2312"/>
      <w:b/>
    </w:rPr>
  </w:style>
  <w:style w:type="paragraph" w:styleId="6">
    <w:name w:val="heading 4"/>
    <w:basedOn w:val="1"/>
    <w:next w:val="1"/>
    <w:unhideWhenUsed/>
    <w:qFormat/>
    <w:uiPriority w:val="0"/>
    <w:pPr>
      <w:keepNext/>
      <w:keepLines/>
      <w:spacing w:beforeLines="0" w:beforeAutospacing="0" w:afterLines="0" w:afterAutospacing="0" w:line="560" w:lineRule="exact"/>
      <w:outlineLvl w:val="3"/>
    </w:pPr>
    <w:rPr>
      <w:rFonts w:ascii="Arial" w:hAnsi="Arial"/>
      <w:b/>
    </w:rPr>
  </w:style>
  <w:style w:type="character" w:default="1" w:styleId="16">
    <w:name w:val="Default Paragraph Font"/>
    <w:semiHidden/>
    <w:qFormat/>
    <w:uiPriority w:val="0"/>
    <w:rPr>
      <w:rFonts w:ascii="Calibri" w:hAnsi="Calibri" w:eastAsia="仿宋_GB2312"/>
      <w:sz w:val="32"/>
    </w:rPr>
  </w:style>
  <w:style w:type="table" w:default="1" w:styleId="15">
    <w:name w:val="Normal Table"/>
    <w:semiHidden/>
    <w:qFormat/>
    <w:uiPriority w:val="0"/>
    <w:tblPr>
      <w:tblCellMar>
        <w:top w:w="0" w:type="dxa"/>
        <w:left w:w="108" w:type="dxa"/>
        <w:bottom w:w="0" w:type="dxa"/>
        <w:right w:w="108" w:type="dxa"/>
      </w:tblCellMar>
    </w:tblPr>
  </w:style>
  <w:style w:type="paragraph" w:styleId="2">
    <w:name w:val="Normal Indent"/>
    <w:basedOn w:val="1"/>
    <w:semiHidden/>
    <w:qFormat/>
    <w:uiPriority w:val="99"/>
    <w:pPr>
      <w:ind w:firstLine="420"/>
    </w:pPr>
  </w:style>
  <w:style w:type="paragraph" w:styleId="7">
    <w:name w:val="annotation text"/>
    <w:basedOn w:val="1"/>
    <w:qFormat/>
    <w:uiPriority w:val="0"/>
    <w:pPr>
      <w:jc w:val="left"/>
    </w:pPr>
  </w:style>
  <w:style w:type="paragraph" w:styleId="8">
    <w:name w:val="Body Text"/>
    <w:basedOn w:val="1"/>
    <w:next w:val="9"/>
    <w:qFormat/>
    <w:uiPriority w:val="0"/>
    <w:rPr>
      <w:kern w:val="0"/>
      <w:szCs w:val="24"/>
    </w:rPr>
  </w:style>
  <w:style w:type="paragraph" w:styleId="9">
    <w:name w:val="Body Text First Indent"/>
    <w:basedOn w:val="8"/>
    <w:qFormat/>
    <w:uiPriority w:val="99"/>
    <w:pPr>
      <w:widowControl w:val="0"/>
      <w:ind w:firstLine="420" w:firstLineChars="100"/>
      <w:jc w:val="both"/>
    </w:pPr>
    <w:rPr>
      <w:rFonts w:ascii="Times New Roman" w:hAnsi="Times New Roman" w:eastAsia="宋体" w:cs="Times New Roman"/>
      <w:b/>
      <w:kern w:val="2"/>
      <w:sz w:val="21"/>
      <w:szCs w:val="24"/>
      <w:lang w:val="en-US" w:eastAsia="zh-CN" w:bidi="ar-SA"/>
    </w:rPr>
  </w:style>
  <w:style w:type="paragraph" w:styleId="10">
    <w:name w:val="Plain Text"/>
    <w:qFormat/>
    <w:uiPriority w:val="0"/>
    <w:pPr>
      <w:widowControl w:val="0"/>
      <w:jc w:val="both"/>
    </w:pPr>
    <w:rPr>
      <w:rFonts w:ascii="Courier New" w:hAnsi="Courier New" w:eastAsia="宋体" w:cs="Times New Roman"/>
      <w:kern w:val="2"/>
      <w:sz w:val="21"/>
      <w:szCs w:val="24"/>
      <w:lang w:val="en-US" w:eastAsia="zh-CN" w:bidi="ar-SA"/>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4">
    <w:name w:val="Body Text First Indent 2"/>
    <w:basedOn w:val="1"/>
    <w:next w:val="1"/>
    <w:qFormat/>
    <w:uiPriority w:val="0"/>
    <w:pPr>
      <w:spacing w:before="100" w:beforeAutospacing="1" w:afterAutospacing="1"/>
      <w:ind w:firstLine="210"/>
    </w:pPr>
    <w:rPr>
      <w:rFonts w:ascii="Times New Roman" w:hAnsi="Times New Roman" w:cs="Times New Roman"/>
      <w:szCs w:val="21"/>
    </w:rPr>
  </w:style>
  <w:style w:type="character" w:styleId="17">
    <w:name w:val="Emphasis"/>
    <w:basedOn w:val="16"/>
    <w:qFormat/>
    <w:uiPriority w:val="0"/>
    <w:rPr>
      <w:i/>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4732</Words>
  <Characters>4987</Characters>
  <Lines>0</Lines>
  <Paragraphs>0</Paragraphs>
  <TotalTime>73</TotalTime>
  <ScaleCrop>false</ScaleCrop>
  <LinksUpToDate>false</LinksUpToDate>
  <CharactersWithSpaces>4991</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2023-07-26T09:03:00Z</dcterms:created>
  <dc:creator>Administrator</dc:creator>
  <cp:lastModifiedBy>WPS_1485005624</cp:lastModifiedBy>
  <cp:lastPrinted>2024-12-10T00:20:00Z</cp:lastPrinted>
  <dcterms:modified xsi:type="dcterms:W3CDTF">2026-08-24T10:01:08Z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12E50760058C4E2AB2FDA6C13D9A74F8_13</vt:lpwstr>
  </property>
  <property fmtid="{D5CDD505-2E9C-101B-9397-08002B2CF9AE}" pid="4" name="KSOTemplateDocerSaveRecord">
    <vt:lpwstr>eyJoZGlkIjoiOTA3NDlkOTNkNDY4NGY5NjZiODg0ZTBmZDg3MWQ5YjgiLCJ1c2VySWQiOiI1Nzg1OTYwMTYifQ==</vt:lpwstr>
  </property>
</Properties>
</file>