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168" w:right="0" w:firstLine="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2</w:t>
      </w:r>
    </w:p>
    <w:p>
      <w:pPr>
        <w:pStyle w:val="2"/>
        <w:spacing w:before="154"/>
        <w:ind w:left="960" w:firstLine="611" w:firstLineChars="200"/>
      </w:pPr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政府性基金预算支出决算表</w:t>
      </w:r>
    </w:p>
    <w:p>
      <w:pPr>
        <w:spacing w:before="11" w:line="240" w:lineRule="auto"/>
        <w:rPr>
          <w:b/>
          <w:sz w:val="16"/>
        </w:rPr>
      </w:pPr>
    </w:p>
    <w:p>
      <w:pPr>
        <w:spacing w:before="45"/>
        <w:ind w:left="0" w:right="453" w:firstLine="0"/>
        <w:jc w:val="right"/>
        <w:rPr>
          <w:sz w:val="18"/>
        </w:rPr>
      </w:pPr>
      <w:r>
        <w:rPr>
          <w:sz w:val="18"/>
        </w:rPr>
        <w:t>单位：万元</w:t>
      </w:r>
    </w:p>
    <w:p>
      <w:pPr>
        <w:spacing w:before="0" w:line="240" w:lineRule="auto"/>
        <w:rPr>
          <w:sz w:val="5"/>
        </w:rPr>
      </w:pPr>
    </w:p>
    <w:tbl>
      <w:tblPr>
        <w:tblStyle w:val="3"/>
        <w:tblW w:w="0" w:type="auto"/>
        <w:tblInd w:w="1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7"/>
        <w:gridCol w:w="1140"/>
        <w:gridCol w:w="1080"/>
        <w:gridCol w:w="1081"/>
        <w:gridCol w:w="1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4487" w:type="dxa"/>
          </w:tcPr>
          <w:p>
            <w:pPr>
              <w:pStyle w:val="7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7"/>
              <w:tabs>
                <w:tab w:val="left" w:pos="1433"/>
                <w:tab w:val="left" w:pos="2840"/>
                <w:tab w:val="left" w:pos="4244"/>
              </w:tabs>
              <w:spacing w:before="138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140" w:type="dxa"/>
          </w:tcPr>
          <w:p>
            <w:pPr>
              <w:pStyle w:val="7"/>
              <w:spacing w:before="2"/>
              <w:ind w:right="0"/>
              <w:jc w:val="left"/>
              <w:rPr>
                <w:sz w:val="21"/>
              </w:rPr>
            </w:pPr>
          </w:p>
          <w:p>
            <w:pPr>
              <w:pStyle w:val="7"/>
              <w:spacing w:before="1" w:line="254" w:lineRule="exact"/>
              <w:ind w:left="254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2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080" w:type="dxa"/>
          </w:tcPr>
          <w:p>
            <w:pPr>
              <w:pStyle w:val="7"/>
              <w:spacing w:before="2"/>
              <w:ind w:right="0"/>
              <w:jc w:val="left"/>
              <w:rPr>
                <w:sz w:val="21"/>
              </w:rPr>
            </w:pPr>
          </w:p>
          <w:p>
            <w:pPr>
              <w:pStyle w:val="7"/>
              <w:spacing w:before="1" w:line="254" w:lineRule="exact"/>
              <w:ind w:left="225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2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081" w:type="dxa"/>
          </w:tcPr>
          <w:p>
            <w:pPr>
              <w:pStyle w:val="7"/>
              <w:spacing w:before="11"/>
              <w:ind w:right="0"/>
              <w:jc w:val="left"/>
              <w:rPr>
                <w:sz w:val="23"/>
              </w:rPr>
            </w:pPr>
          </w:p>
          <w:p>
            <w:pPr>
              <w:pStyle w:val="7"/>
              <w:spacing w:before="1" w:line="248" w:lineRule="exact"/>
              <w:ind w:left="180" w:right="9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决算数为预算数的%</w:t>
            </w:r>
          </w:p>
        </w:tc>
        <w:tc>
          <w:tcPr>
            <w:tcW w:w="1260" w:type="dxa"/>
          </w:tcPr>
          <w:p>
            <w:pPr>
              <w:pStyle w:val="7"/>
              <w:spacing w:before="11"/>
              <w:ind w:right="0"/>
              <w:jc w:val="left"/>
              <w:rPr>
                <w:sz w:val="23"/>
              </w:rPr>
            </w:pPr>
          </w:p>
          <w:p>
            <w:pPr>
              <w:pStyle w:val="7"/>
              <w:spacing w:before="1" w:line="248" w:lineRule="exact"/>
              <w:ind w:left="268" w:right="100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4487" w:type="dxa"/>
          </w:tcPr>
          <w:p>
            <w:pPr>
              <w:pStyle w:val="7"/>
              <w:spacing w:before="50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文化旅游体育与传媒支出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国家电影事业发展专项资金安排的支出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487" w:type="dxa"/>
          </w:tcPr>
          <w:p>
            <w:pPr>
              <w:pStyle w:val="7"/>
              <w:spacing w:before="81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社会保障和就业支出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大中型水库移民后期扶持基金支出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小型水库移民扶助基金安排的支出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</w:pPr>
          </w:p>
        </w:tc>
        <w:tc>
          <w:tcPr>
            <w:tcW w:w="1080" w:type="dxa"/>
            <w:vAlign w:val="center"/>
          </w:tcPr>
          <w:p>
            <w:pPr>
              <w:jc w:val="right"/>
            </w:pPr>
          </w:p>
        </w:tc>
        <w:tc>
          <w:tcPr>
            <w:tcW w:w="1081" w:type="dxa"/>
            <w:vAlign w:val="center"/>
          </w:tcPr>
          <w:p>
            <w:pPr>
              <w:jc w:val="right"/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城乡社区支出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15883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153.16%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668.78%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spacing w:before="70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国有土地使用权出让收入及对应专项债务收入安排的支出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3774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37.00%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right="0" w:firstLine="608" w:firstLineChars="400"/>
              <w:jc w:val="left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16"/>
                <w:szCs w:val="16"/>
              </w:rPr>
              <w:t>国有土地收益基金及对应专项债务收入安排的支出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64.12%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 w:firstLine="380" w:firstLineChars="200"/>
              <w:jc w:val="left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棚户区改造专项债券收入安排的支出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城市基础设施配套费安排的支出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4487" w:type="dxa"/>
          </w:tcPr>
          <w:p>
            <w:pPr>
              <w:pStyle w:val="7"/>
              <w:spacing w:before="50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农林水支出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</w:pPr>
          </w:p>
        </w:tc>
        <w:tc>
          <w:tcPr>
            <w:tcW w:w="1080" w:type="dxa"/>
            <w:vAlign w:val="center"/>
          </w:tcPr>
          <w:p>
            <w:pPr>
              <w:jc w:val="right"/>
            </w:pPr>
          </w:p>
        </w:tc>
        <w:tc>
          <w:tcPr>
            <w:tcW w:w="1081" w:type="dxa"/>
            <w:vAlign w:val="center"/>
          </w:tcPr>
          <w:p>
            <w:pPr>
              <w:jc w:val="right"/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4487" w:type="dxa"/>
          </w:tcPr>
          <w:p>
            <w:pPr>
              <w:pStyle w:val="7"/>
              <w:spacing w:before="33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大中型水库库区基金安排的支出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</w:pPr>
          </w:p>
        </w:tc>
        <w:tc>
          <w:tcPr>
            <w:tcW w:w="1080" w:type="dxa"/>
            <w:vAlign w:val="center"/>
          </w:tcPr>
          <w:p>
            <w:pPr>
              <w:jc w:val="right"/>
            </w:pPr>
          </w:p>
        </w:tc>
        <w:tc>
          <w:tcPr>
            <w:tcW w:w="1081" w:type="dxa"/>
            <w:vAlign w:val="center"/>
          </w:tcPr>
          <w:p>
            <w:pPr>
              <w:jc w:val="right"/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交通运输支出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车辆通行费安排的支出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港口建设费安排的支出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民航发展基金支出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政府收费公路专项债券收入安排的支出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其他支出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4487" w:type="dxa"/>
          </w:tcPr>
          <w:p>
            <w:pPr>
              <w:pStyle w:val="7"/>
              <w:spacing w:before="50"/>
              <w:ind w:right="54"/>
              <w:rPr>
                <w:sz w:val="20"/>
              </w:rPr>
            </w:pPr>
            <w:r>
              <w:rPr>
                <w:w w:val="95"/>
                <w:sz w:val="20"/>
              </w:rPr>
              <w:t>其他政府性基金及对应专项债务收入安排的支出</w:t>
            </w:r>
          </w:p>
        </w:tc>
        <w:tc>
          <w:tcPr>
            <w:tcW w:w="1140" w:type="dxa"/>
            <w:vAlign w:val="bottom"/>
          </w:tcPr>
          <w:p/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</w:pPr>
          </w:p>
        </w:tc>
        <w:tc>
          <w:tcPr>
            <w:tcW w:w="1260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彩票发行销售机构业务费安排的支出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彩票公益金安排的支出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债务付息支出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248.78%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487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债务发行费用支出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63.64%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27.27%</w:t>
            </w:r>
          </w:p>
        </w:tc>
      </w:tr>
    </w:tbl>
    <w:p/>
    <w:sectPr>
      <w:type w:val="continuous"/>
      <w:pgSz w:w="11910" w:h="16840"/>
      <w:pgMar w:top="700" w:right="128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E7E18"/>
    <w:rsid w:val="3CAC611A"/>
    <w:rsid w:val="4DFC0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49"/>
      <w:ind w:right="125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2020-09-23T17:28:00Z</dcterms:created>
  <dc:creator>温奇峰</dc:creator>
  <cp:lastModifiedBy>Wen超</cp:lastModifiedBy>
  <cp:lastPrinted>2020-10-22T04:08:59Z</cp:lastPrinted>
  <dcterms:modified xsi:type="dcterms:W3CDTF">2020-10-22T04:09:01Z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