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left="415" w:right="0" w:firstLine="0"/>
        <w:jc w:val="left"/>
        <w:rPr>
          <w:sz w:val="24"/>
        </w:rPr>
      </w:pPr>
      <w:r>
        <w:rPr>
          <w:sz w:val="24"/>
        </w:rPr>
        <w:t>03</w:t>
      </w:r>
    </w:p>
    <w:p>
      <w:pPr>
        <w:spacing w:before="6" w:line="240" w:lineRule="auto"/>
        <w:rPr>
          <w:sz w:val="29"/>
        </w:rPr>
      </w:pPr>
    </w:p>
    <w:p>
      <w:pPr>
        <w:pStyle w:val="2"/>
        <w:ind w:left="895"/>
      </w:pPr>
      <w:r>
        <w:rPr>
          <w:w w:val="95"/>
        </w:rPr>
        <w:t>二○一九年</w:t>
      </w:r>
      <w:r>
        <w:rPr>
          <w:rFonts w:hint="eastAsia"/>
          <w:w w:val="95"/>
          <w:lang w:val="en-US" w:eastAsia="zh-CN"/>
        </w:rPr>
        <w:t>高新区</w:t>
      </w:r>
      <w:r>
        <w:rPr>
          <w:w w:val="95"/>
        </w:rPr>
        <w:t>一般公共预算支出决算表</w:t>
      </w:r>
    </w:p>
    <w:p>
      <w:pPr>
        <w:spacing w:before="0" w:line="240" w:lineRule="auto"/>
        <w:rPr>
          <w:b/>
          <w:sz w:val="20"/>
        </w:rPr>
      </w:pPr>
    </w:p>
    <w:p>
      <w:pPr>
        <w:spacing w:before="1" w:line="240" w:lineRule="auto"/>
        <w:rPr>
          <w:b/>
          <w:sz w:val="21"/>
        </w:rPr>
      </w:pPr>
    </w:p>
    <w:p>
      <w:pPr>
        <w:spacing w:before="37" w:after="7"/>
        <w:ind w:left="0" w:right="708" w:firstLine="0"/>
        <w:jc w:val="right"/>
        <w:rPr>
          <w:sz w:val="20"/>
        </w:rPr>
      </w:pPr>
      <w:r>
        <w:rPr>
          <w:w w:val="95"/>
          <w:sz w:val="20"/>
        </w:rPr>
        <w:t>单位：万元</w:t>
      </w:r>
    </w:p>
    <w:tbl>
      <w:tblPr>
        <w:tblStyle w:val="3"/>
        <w:tblW w:w="0" w:type="auto"/>
        <w:tblInd w:w="3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1351"/>
        <w:gridCol w:w="1352"/>
        <w:gridCol w:w="1352"/>
        <w:gridCol w:w="13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2372" w:type="dxa"/>
          </w:tcPr>
          <w:p>
            <w:pPr>
              <w:pStyle w:val="7"/>
              <w:tabs>
                <w:tab w:val="left" w:pos="727"/>
                <w:tab w:val="left" w:pos="1428"/>
                <w:tab w:val="left" w:pos="2129"/>
              </w:tabs>
              <w:spacing w:before="124" w:line="240" w:lineRule="auto"/>
              <w:ind w:left="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预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算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科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目</w:t>
            </w:r>
          </w:p>
        </w:tc>
        <w:tc>
          <w:tcPr>
            <w:tcW w:w="1351" w:type="dxa"/>
          </w:tcPr>
          <w:p>
            <w:pPr>
              <w:pStyle w:val="7"/>
              <w:spacing w:before="1" w:line="254" w:lineRule="exact"/>
              <w:ind w:left="360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line="254" w:lineRule="exact"/>
              <w:ind w:left="36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预算数</w:t>
            </w:r>
          </w:p>
        </w:tc>
        <w:tc>
          <w:tcPr>
            <w:tcW w:w="1352" w:type="dxa"/>
          </w:tcPr>
          <w:p>
            <w:pPr>
              <w:pStyle w:val="7"/>
              <w:spacing w:before="1" w:line="254" w:lineRule="exact"/>
              <w:ind w:left="360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2019年</w:t>
            </w:r>
          </w:p>
          <w:p>
            <w:pPr>
              <w:pStyle w:val="7"/>
              <w:spacing w:line="254" w:lineRule="exact"/>
              <w:ind w:left="36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</w:t>
            </w:r>
          </w:p>
        </w:tc>
        <w:tc>
          <w:tcPr>
            <w:tcW w:w="1352" w:type="dxa"/>
          </w:tcPr>
          <w:p>
            <w:pPr>
              <w:pStyle w:val="7"/>
              <w:spacing w:before="37" w:line="248" w:lineRule="exact"/>
              <w:ind w:left="516" w:right="45" w:hanging="4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决算数为预算的%</w:t>
            </w:r>
          </w:p>
        </w:tc>
        <w:tc>
          <w:tcPr>
            <w:tcW w:w="1351" w:type="dxa"/>
          </w:tcPr>
          <w:p>
            <w:pPr>
              <w:pStyle w:val="7"/>
              <w:spacing w:before="37" w:line="248" w:lineRule="exact"/>
              <w:ind w:left="314" w:right="146" w:hanging="1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比上年决算数增减%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一般公共服务支出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5,455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5022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92.06%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国防支出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公共安全支出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76.20%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-63.84%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教育支出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科学技术支出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6,043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8557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141.60%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201.30%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文化旅游体育与传媒支出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72.73%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-68.00%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社会保障和就业支出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99.25%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卫生健康支出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节能环保支出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232.93%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60.57%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城乡社区支出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61,904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67067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108.34%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  <w:tcBorders>
              <w:bottom w:val="single" w:color="000000" w:sz="8" w:space="0"/>
            </w:tcBorders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农林水支出</w:t>
            </w:r>
          </w:p>
        </w:tc>
        <w:tc>
          <w:tcPr>
            <w:tcW w:w="1351" w:type="dxa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352" w:type="dxa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1352" w:type="dxa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84.32%</w:t>
            </w:r>
          </w:p>
        </w:tc>
        <w:tc>
          <w:tcPr>
            <w:tcW w:w="1351" w:type="dxa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-62.57%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  <w:tcBorders>
              <w:top w:val="single" w:color="000000" w:sz="8" w:space="0"/>
            </w:tcBorders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交通运输支出</w:t>
            </w:r>
          </w:p>
        </w:tc>
        <w:tc>
          <w:tcPr>
            <w:tcW w:w="1351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资源勘探信息等支出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5463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1154.97%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30.54%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商业服务业等支出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427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239.89%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64.86%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金融支出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援助其他地区支出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自然资源海洋气象等支出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104.02%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-18.47%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住房保障支出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粮油物资储备支出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灾害防治及应急管理支出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1,096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83.58%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其他支出(类)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1,800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-98.33%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债务付息支出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2,244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2,244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33.18%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spacing w:line="250" w:lineRule="exact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债务发行费用支出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一般公共预算支出合计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81705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92953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113.77%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13.38%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补助下级支出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返还性支出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一般性转移支付支出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专项转移支付支出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上解上级支出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1265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5990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473.52%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597.32%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体制上解支出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27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专项上解支出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1265 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债务还本支出</w:t>
            </w:r>
          </w:p>
        </w:tc>
        <w:tc>
          <w:tcPr>
            <w:tcW w:w="1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3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-99.03%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债务转贷支出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</w:pPr>
          </w:p>
        </w:tc>
        <w:tc>
          <w:tcPr>
            <w:tcW w:w="1352" w:type="dxa"/>
            <w:vAlign w:val="bottom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spacing w:before="13" w:line="240" w:lineRule="auto"/>
              <w:ind w:left="201" w:right="0"/>
              <w:jc w:val="left"/>
              <w:rPr>
                <w:sz w:val="17"/>
              </w:rPr>
            </w:pPr>
            <w:r>
              <w:rPr>
                <w:sz w:val="17"/>
              </w:rPr>
              <w:t>地方政府一般债券转贷支出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</w:pPr>
          </w:p>
        </w:tc>
        <w:tc>
          <w:tcPr>
            <w:tcW w:w="1352" w:type="dxa"/>
            <w:vAlign w:val="bottom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安排预算稳定调节基金</w:t>
            </w:r>
          </w:p>
        </w:tc>
        <w:tc>
          <w:tcPr>
            <w:tcW w:w="1351" w:type="dxa"/>
            <w:vAlign w:val="bottom"/>
          </w:tcPr>
          <w:p>
            <w:pPr>
              <w:jc w:val="center"/>
            </w:pPr>
          </w:p>
        </w:tc>
        <w:tc>
          <w:tcPr>
            <w:tcW w:w="13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年终结转</w:t>
            </w:r>
          </w:p>
        </w:tc>
        <w:tc>
          <w:tcPr>
            <w:tcW w:w="13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4514</w:t>
            </w:r>
          </w:p>
        </w:tc>
        <w:tc>
          <w:tcPr>
            <w:tcW w:w="13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17.66%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-82.34%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372" w:type="dxa"/>
          </w:tcPr>
          <w:p>
            <w:pPr>
              <w:pStyle w:val="7"/>
              <w:ind w:left="26" w:right="0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一般公共预算支出总计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87684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100017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114.07%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-7.37%</w:t>
            </w:r>
          </w:p>
        </w:tc>
      </w:tr>
    </w:tbl>
    <w:p/>
    <w:sectPr>
      <w:type w:val="continuous"/>
      <w:pgSz w:w="11910" w:h="16840"/>
      <w:pgMar w:top="104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54B34"/>
    <w:rsid w:val="0FF83C29"/>
    <w:rsid w:val="5F5A1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宋体" w:hAnsi="宋体" w:eastAsia="宋体" w:cs="宋体"/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249" w:lineRule="exact"/>
      <w:ind w:right="125"/>
      <w:jc w:val="right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2020-09-23T17:17:00Z</dcterms:created>
  <dc:creator>温奇峰</dc:creator>
  <cp:lastModifiedBy>Wen超</cp:lastModifiedBy>
  <dcterms:modified xsi:type="dcterms:W3CDTF">2020-09-27T02:37:39Z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2052-11.1.0.9999</vt:lpwstr>
  </property>
</Properties>
</file>