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社会事业局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国有资产占用情况说明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2021年高新区社会事业局车辆共计零辆，其中执法执勤用车零辆，其他用车零辆（主要是公务用车及环卫车）；单价50万元（含）以上通用设备数量为零，单价100万元（含）以上专用设备数量为零。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0067B"/>
    <w:rsid w:val="0BC75754"/>
    <w:rsid w:val="215F024C"/>
    <w:rsid w:val="43CC5A56"/>
    <w:rsid w:val="45516DB9"/>
    <w:rsid w:val="5690067B"/>
    <w:rsid w:val="7DCB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2021-05-26T04:56:00Z</dcterms:created>
  <dc:creator>画墨</dc:creator>
  <cp:lastModifiedBy>HP</cp:lastModifiedBy>
  <dcterms:modified xsi:type="dcterms:W3CDTF">2021-07-14T01:54:40Z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  <property fmtid="{D5CDD505-2E9C-101B-9397-08002B2CF9AE}" pid="3" name="ICV">
    <vt:lpwstr>4D9CB4481A6A4D3EB7FE3224FD4F2745</vt:lpwstr>
  </property>
</Properties>
</file>