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高新区征迁办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国有资产占用情况说明</w:t>
      </w:r>
    </w:p>
    <w:p>
      <w:p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</w:t>
      </w:r>
    </w:p>
    <w:p>
      <w:pPr>
        <w:jc w:val="both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2021年高新区征迁办车辆共计零辆，其中执法执勤用车   零辆，其他用车零辆（主要是公务用车及环卫车）；单价50万元（含）以上通用设备数量为零，单价100万元（含）以上专用设备数量为零。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0067B"/>
    <w:rsid w:val="0BC75754"/>
    <w:rsid w:val="54365BD1"/>
    <w:rsid w:val="5690067B"/>
    <w:rsid w:val="602D3961"/>
    <w:rsid w:val="7DCB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2021-05-26T04:56:00Z</dcterms:created>
  <dc:creator>画墨</dc:creator>
  <cp:lastModifiedBy>往事并不如烟</cp:lastModifiedBy>
  <dcterms:modified xsi:type="dcterms:W3CDTF">2021-07-12T01:35:30Z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4D9CB4481A6A4D3EB7FE3224FD4F2745</vt:lpwstr>
  </property>
</Properties>
</file>