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高新区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党政办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国有资产占用情况说明</w:t>
      </w: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</w:p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2021年高新区党政办车辆共计零辆，其中执法执勤用车零辆，其他用车零辆（主要是公务用车及环卫车）；单价50万元（含）以上通用设备数量为零，单价100万元（含）以上专用设备数量为零。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0067B"/>
    <w:rsid w:val="0BC75754"/>
    <w:rsid w:val="5690067B"/>
    <w:rsid w:val="6A480CD0"/>
    <w:rsid w:val="6BB919DF"/>
    <w:rsid w:val="7DCB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2021-05-26T04:56:00Z</dcterms:created>
  <dc:creator>画墨</dc:creator>
  <cp:lastModifiedBy>F颖</cp:lastModifiedBy>
  <cp:lastPrinted>2021-07-12T07:06:06Z</cp:lastPrinted>
  <dcterms:modified xsi:type="dcterms:W3CDTF">2021-07-12T07:06:11Z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4D9CB4481A6A4D3EB7FE3224FD4F2745</vt:lpwstr>
  </property>
</Properties>
</file>